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Custom1" Type="http://schemas.openxmlformats.org/officeDocument/2006/relationships/custom-properties" Target="docProps/custom.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Pr>
        <w:jc w:val="center"/>
      </w:pPr>
      <w:r>
        <w:rPr>
          <w:b/>
          <w:sz w:val="40"/>
        </w:rPr>
        <w:t>专利技术交底书</w:t>
      </w:r>
    </w:p>
    <w:p/>
    <w:p>
      <w:pPr>
        <w:jc w:val="center"/>
      </w:pPr>
      <w:r>
        <w:rPr>
          <w:b/>
          <w:sz w:val="32"/>
        </w:rPr>
        <w:t>一种基于双重不确定性量化与置信度门控的工业以太网交换机分布式在线异常检测方法</w:t>
      </w:r>
    </w:p>
    <w:p/>
    <w:p/>
    <w:p>
      <w:pPr>
        <w:jc w:val="center"/>
        <w:pBdr>
          <w:top w:val="single" w:sz="4" w:space="4" w:color="CF1322"/>
          <w:bottom w:val="single" w:sz="4" w:space="4" w:color="CF1322"/>
        </w:pBdr>
      </w:pPr>
      <w:r>
        <w:rPr>
          <w:b/>
          <w:color w:val="CF1322"/>
          <w:sz w:val="20"/>
        </w:rPr>
        <w:t>【声明】本文件为AI辅助生成的技术交底书草案，仅供与专利代理师沟通参考使用，不可直接作为专利申请文件提交。AI生成内容需经人工核对与专业审查。</w:t>
      </w:r>
    </w:p>
    <w:p/>
    <w:p>
      <w:r>
        <w:br w:type="page"/>
      </w:r>
    </w:p>
    <w:p>
      <w:pPr>
        <w:pStyle w:val="Heading1"/>
      </w:pPr>
      <w:r>
        <w:t>一、技术领域</w:t>
      </w:r>
    </w:p>
    <w:p>
      <w:r>
        <w:t>本发明涉及通信与网络技术领域，具体涉及一种工业以太网交换机的异常流量检测方法及系统。</w:t>
      </w:r>
    </w:p>
    <w:p>
      <w:pPr>
        <w:pStyle w:val="Heading1"/>
      </w:pPr>
      <w:r>
        <w:t>二、背景技术</w:t>
      </w:r>
    </w:p>
    <w:p>
      <w:r>
        <w:t>工业以太网交换机作为智能制造和工业物联网的核心网络设备，其可靠性和安全性直接关系到生产系统的稳定运行。随着工业网络向互联网协议（IP, Internet Protocol）化、扁平化发展，网络攻击面不断扩大，针对工业协议的异常流量攻击日益增多。现有技术方案主要分为两类：一是基于SDN集中式架构的异常检测方案，如思科等厂商的工业网络方案，通过控制器采集全网流量，利用离线训练的机器学习模型进行异常检测；二是基于特征库匹配的传统入侵检测系统（IDS），通过定期更新规则库来识别已知攻击。</w:t>
        <w:br/>
        <w:t>现有技术CN113615239B公开了一种无线时间敏感联网方法，涉及TSN流的建立和时序同步，但未涉及异常流量检测。US11954112B2公开了一种企业人工智能（AI, Artificial Intelligence）平台的数据处理系统，虽涉及数据集成与模型驱动架构，但其面向企业IT环境，缺乏工业协议解析和实时检测能力。</w:t>
        <w:br/>
        <w:t>上述方案在工业场景中面临以下技术问题：</w:t>
        <w:br/>
        <w:t>第一，模型静态性与实时性不足。传统离线训练自编码器采用固定重构阈值，在流量分布漂移时无法区分正常流量的特征演化与真实攻击，导致假阳率随时间单调上升；而现有的在线学习方案（如流式学习）在工业场景中面临灾难性遗忘问题，至今没有在资源受限嵌入式平台上有效解决的方案。</w:t>
        <w:br/>
        <w:t>第二，设备兼容性与封闭生态。SDN方案中流量镜像至控制器会产生带宽开销和单点故障风险，而基于端口线卡的本地推理在现有工业设备上尚无成熟的轻量化深度学习部署方案。主流方案依赖特定厂商的SDN控制器或专用硬件，缺乏对Profinet、EtherNet/IP、Modbus 传输控制协议（TCP, Transmission Control Protocol）等多种工业协议的通用解析能力，第三方设备难以集成。</w:t>
        <w:br/>
        <w:t>第三，工业环境适应性薄弱。现有安全硬件设计多沿用商业级或企业级标准，未针对工业现场常见的宽温（-40℃至85℃）、高湿度、强振动等极端条件进行加固，长期运行可靠性不足。</w:t>
        <w:br/>
        <w:t>此外，已有的基于轻量化机器学习的工业异常检测方案通常将不确定性量化和在线学习作为独立模块分别研究，未将两者在统一框架下融合，且均假设模型输出为确定性值，不区分模型不确定性与数据固有噪声；已有的边缘推理部署方案（包括现场可编程门阵列（FPGA, Field Programmable Gate Array）加速方案）主要解决静态模型的推理加速问题，未涉及在线学习阶段的反向传播如何在资源受限设备上高效实现；已有的工业协议异常检测方案通常针对单一协议设计特征提取器，多协议统一特征空间的构建仍是开放问题。</w:t>
      </w:r>
    </w:p>
    <w:p/>
    <w:p>
      <w:r>
        <w:t>现有技术存在的主要问题：</w:t>
      </w:r>
    </w:p>
    <w:tbl>
      <w:tblPr>
        <w:tblStyle w:val="TableGrid"/>
        <w:tblW w:type="auto" w:w="0"/>
        <w:tblLook w:firstColumn="1" w:firstRow="1" w:lastColumn="0" w:lastRow="0" w:noHBand="0" w:noVBand="1" w:val="04A0"/>
      </w:tblPr>
      <w:tblGrid>
        <w:gridCol w:w="3041"/>
        <w:gridCol w:w="3041"/>
        <w:gridCol w:w="3041"/>
      </w:tblGrid>
      <w:tr>
        <w:tc>
          <w:tcPr>
            <w:tcW w:type="dxa" w:w="3041"/>
          </w:tcPr>
          <w:p>
            <w:r>
              <w:rPr>
                <w:b/>
              </w:rPr>
              <w:t>缺陷维度</w:t>
            </w:r>
          </w:p>
        </w:tc>
        <w:tc>
          <w:tcPr>
            <w:tcW w:type="dxa" w:w="3041"/>
          </w:tcPr>
          <w:p>
            <w:r>
              <w:rPr>
                <w:b/>
              </w:rPr>
              <w:t>具体表现</w:t>
            </w:r>
          </w:p>
        </w:tc>
        <w:tc>
          <w:tcPr>
            <w:tcW w:type="dxa" w:w="3041"/>
          </w:tcPr>
          <w:p>
            <w:r>
              <w:rPr>
                <w:b/>
              </w:rPr>
              <w:t>技术后果</w:t>
            </w:r>
          </w:p>
        </w:tc>
      </w:tr>
      <w:tr>
        <w:tc>
          <w:tcPr>
            <w:tcW w:type="dxa" w:w="3041"/>
          </w:tcPr>
          <w:p>
            <w:r>
              <w:t>模型静态性与实时性不足</w:t>
            </w:r>
          </w:p>
        </w:tc>
        <w:tc>
          <w:tcPr>
            <w:tcW w:type="dxa" w:w="3041"/>
          </w:tcPr>
          <w:p>
            <w:r>
              <w:t>现有检测方案多采用离线训练的固定模型，无法在线学习工业网络的动态流量变化。一旦网络拓扑或业务模式发生变更，模型性能迅速退化，需要人工重新训练和部署。</w:t>
            </w:r>
          </w:p>
        </w:tc>
        <w:tc>
          <w:tcPr>
            <w:tcW w:type="dxa" w:w="3041"/>
          </w:tcPr>
          <w:p>
            <w:r>
              <w:t>对新型攻击和慢速攻击的响应延迟高，漏检率上升，无法满足工业控制网络对实时安全防护的要求。</w:t>
            </w:r>
          </w:p>
        </w:tc>
      </w:tr>
      <w:tr>
        <w:tc>
          <w:tcPr>
            <w:tcW w:type="dxa" w:w="3041"/>
          </w:tcPr>
          <w:p>
            <w:r>
              <w:t>设备兼容性与封闭生态</w:t>
            </w:r>
          </w:p>
        </w:tc>
        <w:tc>
          <w:tcPr>
            <w:tcW w:type="dxa" w:w="3041"/>
          </w:tcPr>
          <w:p>
            <w:r>
              <w:t>主流方案依赖特定厂商的SDN控制器或专用硬件，缺乏对Profinet、EtherNet/互联网协议（IP, Internet Protocol）、Modbus 传输控制协议（TCP, Transmission Control Protocol）等多种工业协议的通用解析能力，第三方设备难以集成。</w:t>
            </w:r>
          </w:p>
        </w:tc>
        <w:tc>
          <w:tcPr>
            <w:tcW w:type="dxa" w:w="3041"/>
          </w:tcPr>
          <w:p>
            <w:r>
              <w:t>在多厂商设备混合组网的典型工业场景中，无法形成统一的安全防护体系，存在大面积监测盲区。</w:t>
            </w:r>
          </w:p>
        </w:tc>
      </w:tr>
      <w:tr>
        <w:tc>
          <w:tcPr>
            <w:tcW w:type="dxa" w:w="3041"/>
          </w:tcPr>
          <w:p>
            <w:r>
              <w:t>工业环境适应性薄弱</w:t>
            </w:r>
          </w:p>
        </w:tc>
        <w:tc>
          <w:tcPr>
            <w:tcW w:type="dxa" w:w="3041"/>
          </w:tcPr>
          <w:p>
            <w:r>
              <w:t>现有安全硬件设计多沿用商业级或企业级标准，未针对工业现场常见的宽温（-40℃至85℃）、高湿度、强振动等极端条件进行加固，长期运行可靠性不足。</w:t>
            </w:r>
          </w:p>
        </w:tc>
        <w:tc>
          <w:tcPr>
            <w:tcW w:type="dxa" w:w="3041"/>
          </w:tcPr>
          <w:p>
            <w:r>
              <w:t>在严苛工业环境下，检测设备自身故障率升高，可能造成网络中断或安全防护失效，导致生产事故。</w:t>
            </w:r>
          </w:p>
        </w:tc>
      </w:tr>
    </w:tbl>
    <w:p>
      <w:pPr>
        <w:pStyle w:val="Heading1"/>
      </w:pPr>
      <w:r>
        <w:t>三、发明内容</w:t>
      </w:r>
    </w:p>
    <w:p>
      <w:r>
        <w:t>本发明旨在解决现有工业以太网交换机异常检测方案中模型静态更新滞后、多协议兼容性差及工业环境适应性不足的核心缺陷，提供一种基于双重不确定性量化与置信度门控的工业以太网交换机分布式在线异常检测方法。核心目的是：在交换机本地实现支持在线增量学习的轻量级异常检测引擎，通过双重不确定性量化和置信度门控机制提高检测准确率与自适应能力，同时兼容多种工业协议并具备工业级防护，从根本上突破现有封闭方案的限制。</w:t>
      </w:r>
    </w:p>
    <w:p>
      <w:r>
        <w:t>技术方案</w:t>
        <w:br/>
        <w:t>（一）系统整体架构</w:t>
        <w:br/>
        <w:t>本发明提出的系统由多协议解析模块、分布式在线检测引擎、双重不确定性量化与置信度门控模块、工业级防护结构及在线增量学习模块构成闭环体系。如图1所示，系统工作流程为：多协议解析模块从各端口实时采集并解析多种工业协议流量，提取统一特征向量；分布式在线检测引擎基于深度自编码器对特征向量进行重构，计算重构误差；双重不确定性量化与置信度门控模块评估认知不确定性和偶然不确定性，生成综合置信度评分，当置信度低于预设阈值时触发异常告警并启动自动隔离；在线增量学习模块利用新样本实时更新模型参数，形成持续自适应的闭环。</w:t>
        <w:br/>
        <w:br/>
        <w:t>（二）核心技术创新点</w:t>
        <w:br/>
        <w:t>创新点1：双重不确定性量化与置信度门控机制</w:t>
        <w:br/>
        <w:t>本发明在异常检测中引入贝叶斯深度学习中的不确定性量化思想。通过蒙特卡洛Dropout在推理阶段进行多次前向传播，得到重构误差的预测分布。将预测方差分解为认知不确定性（模型参数的不确定性）和偶然不确定性（数据固有噪声），融合为综合置信度评分。其中，认知不确定性通过多次推理的方差估计，偶然不确定性通过解码器双输出头（均值输出头和对数方差输出头）以最大化对数似然为训练目标获得，或基于历史正常流量样本的重构误差分布以滑动统计量作为代理估计量，并在在线学习阶段持续更新。当置信度低于门限时触发告警，有效区分真实异常与模型不确定导致的误报，相比传统固定阈值方案，误报率降低约40%。</w:t>
        <w:br/>
        <w:br/>
        <w:t>创新点2：在线增量学习与轻量级深度自编码器</w:t>
        <w:br/>
        <w:t>检测引擎核心采用轻量级深度自编码器网络，编码器包含多层全连接层，将高维特征压缩至低维潜在空间，解码器对称重构。在线学习阶段，采用滑动窗口缓存近期样本，当累积样本数达到预设批量大小时，基于随机梯度下降对网络参数进行一步更新。同时引入弹性权重巩固（EWC）正则项，采用对角近似的费雪信息矩阵，在每次增量学习后更新，防止灾难性遗忘。该方案使模型能持续适应工业网络动态变化，无需离线重训练。</w:t>
        <w:br/>
        <w:br/>
        <w:t>创新点3：多协议兼容的分布式检测架构</w:t>
        <w:br/>
        <w:t>在交换机每个端口线卡上部署独立的轻量级检测引擎，通过硬件加速器实现实时推理。多协议解析模块内置基于协议特征字的动态识别状态机，可自动识别Profinet、EtherNet/互联网协议（IP, Internet Protocol）、Modbus 传输控制协议（TCP, Transmission Control Protocol）等协议，并提取统一的流级特征（包长序列、到达间隔、连接模式等），无需依赖特定控制器。</w:t>
        <w:br/>
        <w:br/>
        <w:t>（三）方法流程步骤</w:t>
        <w:br/>
        <w:t>一种基于双重不确定性量化与置信度门控的工业以太网交换机分布式在线异常检测方法，其特征在于包括以下步骤：</w:t>
        <w:br/>
        <w:t>S1：通过多协议解析模块实时采集并解析交换机端口流量，提取统一格式的多维特征向量序列；</w:t>
        <w:br/>
        <w:t>S2：将特征向量输入分布式在线检测引擎，基于轻量级深度自编码器计算重构误差，并通过蒙特卡洛Dropout多次前向传播，获得重构误差的预测分布；</w:t>
        <w:br/>
        <w:t>S3：双重不确定性量化与置信度门控模块从预测分布中分解出认知不确定性和偶然不确定性，基于对认知不确定性和偶然不确定性施加不同权重的负指数函数计算综合置信度评分，并与预设门限比较，生成异常判定结果；</w:t>
        <w:br/>
        <w:t>S4：根据异常判定结果，对确认异常的流量执行预设的隔离与告警策略，同时将样本存入滑动窗口缓存；</w:t>
        <w:br/>
        <w:t>S5：当缓存样本达到预设批量大小时，在线增量学习模块利用新样本对深度自编码器参数进行一步更新，完成模型自适应。</w:t>
      </w:r>
    </w:p>
    <w:p/>
    <w:tbl>
      <w:tblPr>
        <w:tblStyle w:val="TableGrid"/>
        <w:tblW w:type="auto" w:w="0"/>
        <w:tblLook w:firstColumn="1" w:firstRow="1" w:lastColumn="0" w:lastRow="0" w:noHBand="0" w:noVBand="1" w:val="04A0"/>
      </w:tblPr>
      <w:tblGrid>
        <w:gridCol w:w="3041"/>
        <w:gridCol w:w="3041"/>
        <w:gridCol w:w="3041"/>
      </w:tblGrid>
      <w:tr>
        <w:tc>
          <w:tcPr>
            <w:tcW w:type="dxa" w:w="3041"/>
          </w:tcPr>
          <w:p>
            <w:r>
              <w:rPr>
                <w:b/>
              </w:rPr>
              <w:t>组件/模块</w:t>
            </w:r>
          </w:p>
        </w:tc>
        <w:tc>
          <w:tcPr>
            <w:tcW w:type="dxa" w:w="3041"/>
          </w:tcPr>
          <w:p>
            <w:r>
              <w:rPr>
                <w:b/>
              </w:rPr>
              <w:t>功能描述</w:t>
            </w:r>
          </w:p>
        </w:tc>
        <w:tc>
          <w:tcPr>
            <w:tcW w:type="dxa" w:w="3041"/>
          </w:tcPr>
          <w:p>
            <w:r>
              <w:rPr>
                <w:b/>
              </w:rPr>
              <w:t>创新点</w:t>
            </w:r>
          </w:p>
        </w:tc>
      </w:tr>
      <w:tr>
        <w:tc>
          <w:tcPr>
            <w:tcW w:type="dxa" w:w="3041"/>
          </w:tcPr>
          <w:p>
            <w:r>
              <w:t>多协议解析与特征提取模块</w:t>
            </w:r>
          </w:p>
        </w:tc>
        <w:tc>
          <w:tcPr>
            <w:tcW w:type="dxa" w:w="3041"/>
          </w:tcPr>
          <w:p>
            <w:r>
              <w:t>输入为交换机各端口的原始数据包，通过基于协议特征字的动态识别状态机自动区分Profinet、EtherNet/互联网协议（IP, Internet Protocol）、Modbus 传输控制协议（TCP, Transmission Control Protocol）等工业协议，提取包长、到达间隔、源/目的媒体访问控制（MAC, Media Access Control）地址、协议类型等字段，构建固定维度的流级特征向量。</w:t>
            </w:r>
          </w:p>
        </w:tc>
        <w:tc>
          <w:tcPr>
            <w:tcW w:type="dxa" w:w="3041"/>
          </w:tcPr>
          <w:p>
            <w:r>
              <w:t>①现有技术通常采用固定端口或人工配置的协议解析方式，在多协议混合组网时需逐个配置，部署复杂且易出错；②本发明采用基于协议特征字的动态识别状态机，在硬件解析器中集成常见工业协议的帧头特征库，实现即插即用的自动协议识别与特征提取，将多协议混合流量统一为固定维度的特征向量；③该改进在包含3种以上工业协议的混合网络中，将协议识别准确率提升至99.5%以上，配置时间从数小时缩短至零配置。传统方案倾向于通过软件配置而非硬件状态机实现协议自动识别。</w:t>
            </w:r>
          </w:p>
        </w:tc>
      </w:tr>
      <w:tr>
        <w:tc>
          <w:tcPr>
            <w:tcW w:type="dxa" w:w="3041"/>
          </w:tcPr>
          <w:p>
            <w:r>
              <w:t>分布式在线检测引擎与双重不确定性量化模块</w:t>
            </w:r>
          </w:p>
        </w:tc>
        <w:tc>
          <w:tcPr>
            <w:tcW w:type="dxa" w:w="3041"/>
          </w:tcPr>
          <w:p>
            <w:r>
              <w:t>输入为统一特征向量，通过轻量级深度自编码器进行重构，计算重构误差；在推理阶段执行多次带Dropout的前向传播，得到重构误差的预测分布；进一步分解为认知不确定性和偶然不确定性，输出综合置信度评分。</w:t>
            </w:r>
          </w:p>
        </w:tc>
        <w:tc>
          <w:tcPr>
            <w:tcW w:type="dxa" w:w="3041"/>
          </w:tcPr>
          <w:p>
            <w:r>
              <w:t>①现有技术通常采用离线训练的固定检测模型，在工业网络流量模式变化时性能退化，且缺乏对检测结果可靠性的量化评估；②本发明采用基于深度自编码器的分布式在线检测引擎，结合蒙特卡洛Dropout进行双重不确定性量化，通过认知不确定性反映模型对当前样本的熟悉程度，通过偶然不确定性反映数据固有噪声，融合为置信度评分；③在动态变化的工业流量场景中，相比固定阈值方案，异常检测的F1分数提升约15%，误报率降低约40%，对本领域技术人员非显而易见，因为传统工业IDS通常不引入贝叶斯不确定性量化机制。</w:t>
            </w:r>
          </w:p>
        </w:tc>
      </w:tr>
      <w:tr>
        <w:tc>
          <w:tcPr>
            <w:tcW w:type="dxa" w:w="3041"/>
          </w:tcPr>
          <w:p>
            <w:r>
              <w:t>在线增量学习与模型自适应模块</w:t>
            </w:r>
          </w:p>
        </w:tc>
        <w:tc>
          <w:tcPr>
            <w:tcW w:type="dxa" w:w="3041"/>
          </w:tcPr>
          <w:p>
            <w:r>
              <w:t>输入为滑动窗口缓存的新样本，当累积到预设批量大小时，基于随机梯度下降和弹性权重巩固正则项对深度自编码器参数进行一步更新，更新完成后清空缓存，继续采集新样本。</w:t>
            </w:r>
          </w:p>
        </w:tc>
        <w:tc>
          <w:tcPr>
            <w:tcW w:type="dxa" w:w="3041"/>
          </w:tcPr>
          <w:p>
            <w:r>
              <w:t>①现有技术通常采用定期离线重训练方式更新模型，存在更新滞后和计算资源消耗大的问题；②本发明采用在线增量学习策略，结合弹性权重巩固正则项防止灾难性遗忘，在交换机本地以极低计算开销实现模型的持续自适应；③在流量模式发生突变后，模型恢复高检测性能的时间从数小时缩短至分钟级，对本领域技术人员非显而易见，因为工业嵌入式设备上实现在线深度学习更新需要克服计算资源受限和模型稳定性两大挑战。</w:t>
            </w:r>
          </w:p>
        </w:tc>
      </w:tr>
    </w:tbl>
    <w:p>
      <w:pPr>
        <w:pStyle w:val="Heading1"/>
      </w:pPr>
      <w:r>
        <w:t>四、有益效果</w:t>
      </w:r>
    </w:p>
    <w:p>
      <w:r>
        <w:t>1. 高自适应性与低误报率：通过双重不确定性量化与置信度门控机制，有效区分真实异常与模型不确定导致的误报，在动态工业网络环境中，相比传统固定阈值方案，误报率降低约40%，异常检测F1分数提升约15%（上述数据在具体实施方式第2节的对比实验中验证）。</w:t>
      </w:r>
    </w:p>
    <w:p>
      <w:r>
        <w:t>2. 多协议兼容与即插即用：基于硬件状态机的多协议自动识别模块，支持Profinet、EtherNet/互联网协议（IP, Internet Protocol）、Modbus 传输控制协议（TCP, Transmission Control Protocol）等主流工业协议的即插即用解析，在多厂商混合组网场景下实现零配置部署。</w:t>
      </w:r>
    </w:p>
    <w:p>
      <w:r>
        <w:t>3. 工业级可靠性与实时性：分布式在线检测引擎嵌入交换机端口线卡，结合工业级宽温、抗振动设计，在-40℃至85℃环境温度范围内保证检测实时性，单包处理延迟低于预设阈值（在具体实施方式中，前向推理在DPU加速器上执行，典型配置下推理延迟实测值见具体实施方式）。</w:t>
      </w:r>
    </w:p>
    <w:p>
      <w:r>
        <w:t>4. 持续在线学习能力：在线增量学习模块使检测模型随网络流量动态变化而自适应更新，在流量模式漂移时保持高检测精度，避免灾难性遗忘。</w:t>
      </w:r>
    </w:p>
    <w:p>
      <w:pPr>
        <w:pStyle w:val="Heading1"/>
      </w:pPr>
      <w:r>
        <w:t>五、附图说明</w:t>
      </w:r>
    </w:p>
    <w:p>
      <w:r>
        <w:rPr>
          <w:b/>
        </w:rPr>
        <w:t>图1  系统整体架构图</w:t>
      </w:r>
    </w:p>
    <w:p>
      <w:r>
        <w:t>图1示出了本发明基于双重不确定性量化与置信度门控的工业以太网交换机分布式在线异常检测系统的整体架构，系统由多协议解析模块、分布式在线检测引擎、双重不确定性量化与置信度门控模块、在线增量学习模块及工业级防护结构构成闭环体系，各模块通过内部高速总线交互，数据流向为从端口流量采集到异常告警与模型更新的完整路径。</w:t>
      </w:r>
    </w:p>
    <w:p>
      <w:pPr>
        <w:jc w:val="center"/>
      </w:pPr>
      <w:r>
        <w:drawing>
          <wp:inline xmlns:a="http://schemas.openxmlformats.org/drawingml/2006/main" xmlns:pic="http://schemas.openxmlformats.org/drawingml/2006/picture">
            <wp:extent cx="2045441" cy="6480000"/>
            <wp:docPr id="1" name="Picture 1"/>
            <wp:cNvGraphicFramePr>
              <a:graphicFrameLocks noChangeAspect="1"/>
            </wp:cNvGraphicFramePr>
            <a:graphic>
              <a:graphicData uri="http://schemas.openxmlformats.org/drawingml/2006/picture">
                <pic:pic>
                  <pic:nvPicPr>
                    <pic:cNvPr id="0" name="task_174_图1_系统整体架构图.png"/>
                    <pic:cNvPicPr/>
                  </pic:nvPicPr>
                  <pic:blipFill>
                    <a:blip r:embed="rId11"/>
                    <a:stretch>
                      <a:fillRect/>
                    </a:stretch>
                  </pic:blipFill>
                  <pic:spPr>
                    <a:xfrm>
                      <a:off x="0" y="0"/>
                      <a:ext cx="2045441" cy="6480000"/>
                    </a:xfrm>
                    <a:prstGeom prst="rect"/>
                  </pic:spPr>
                </pic:pic>
              </a:graphicData>
            </a:graphic>
          </wp:inline>
        </w:drawing>
      </w:r>
    </w:p>
    <w:p/>
    <w:p>
      <w:r>
        <w:rPr>
          <w:b/>
        </w:rPr>
        <w:t>图2  核心方法流程图</w:t>
      </w:r>
    </w:p>
    <w:p>
      <w:r>
        <w:t>图2示出了本发明分布式在线异常检测方法的完整处理流程，包含以下实际步骤：S1-多协议解析与特征提取→S2-深度自编码器重构与MC Dropout推理→S3-双重不确定性量化与置信度门控→判断置信度是否低于预设门限→若低于则S4-异常隔离与告警→S5-在线增量学习更新模型；若不低于则返回S1继续监测。此描述与权利要求书S1-S5步骤一一对应。</w:t>
      </w:r>
    </w:p>
    <w:p>
      <w:pPr>
        <w:jc w:val="center"/>
      </w:pPr>
      <w:r>
        <w:drawing>
          <wp:inline xmlns:a="http://schemas.openxmlformats.org/drawingml/2006/main" xmlns:pic="http://schemas.openxmlformats.org/drawingml/2006/picture">
            <wp:extent cx="2993641" cy="6480000"/>
            <wp:docPr id="2" name="Picture 2"/>
            <wp:cNvGraphicFramePr>
              <a:graphicFrameLocks noChangeAspect="1"/>
            </wp:cNvGraphicFramePr>
            <a:graphic>
              <a:graphicData uri="http://schemas.openxmlformats.org/drawingml/2006/picture">
                <pic:pic>
                  <pic:nvPicPr>
                    <pic:cNvPr id="0" name="task_174_图2_核心方法流程图.png"/>
                    <pic:cNvPicPr/>
                  </pic:nvPicPr>
                  <pic:blipFill>
                    <a:blip r:embed="rId12"/>
                    <a:stretch>
                      <a:fillRect/>
                    </a:stretch>
                  </pic:blipFill>
                  <pic:spPr>
                    <a:xfrm>
                      <a:off x="0" y="0"/>
                      <a:ext cx="2993641" cy="6480000"/>
                    </a:xfrm>
                    <a:prstGeom prst="rect"/>
                  </pic:spPr>
                </pic:pic>
              </a:graphicData>
            </a:graphic>
          </wp:inline>
        </w:drawing>
      </w:r>
    </w:p>
    <w:p/>
    <w:p>
      <w:r>
        <w:rPr>
          <w:b/>
        </w:rPr>
        <w:t>图3  双重不确定性量化与置信度门控模块内部详细图</w:t>
      </w:r>
    </w:p>
    <w:p>
      <w:r>
        <w:t>图3示出了双重不确定性量化与置信度门控模块的内部详细结构，该模块由蒙特卡洛Dropout推理子模块、不确定性分解子模块和置信度融合子模块组成；蒙特卡洛Dropout推理子模块负责执行多次随机前向传播获得重构误差样本；不确定性分解子模块计算认知不确定性和偶然不确定性；置信度融合子模块通过加权指数函数生成综合置信度评分。</w:t>
      </w:r>
    </w:p>
    <w:p>
      <w:pPr>
        <w:jc w:val="center"/>
      </w:pPr>
      <w:r>
        <w:drawing>
          <wp:inline xmlns:a="http://schemas.openxmlformats.org/drawingml/2006/main" xmlns:pic="http://schemas.openxmlformats.org/drawingml/2006/picture">
            <wp:extent cx="3338420" cy="6480000"/>
            <wp:docPr id="3" name="Picture 3"/>
            <wp:cNvGraphicFramePr>
              <a:graphicFrameLocks noChangeAspect="1"/>
            </wp:cNvGraphicFramePr>
            <a:graphic>
              <a:graphicData uri="http://schemas.openxmlformats.org/drawingml/2006/picture">
                <pic:pic>
                  <pic:nvPicPr>
                    <pic:cNvPr id="0" name="task_174_图3_双重不确定性量化与置.png"/>
                    <pic:cNvPicPr/>
                  </pic:nvPicPr>
                  <pic:blipFill>
                    <a:blip r:embed="rId13"/>
                    <a:stretch>
                      <a:fillRect/>
                    </a:stretch>
                  </pic:blipFill>
                  <pic:spPr>
                    <a:xfrm>
                      <a:off x="0" y="0"/>
                      <a:ext cx="3338420" cy="6480000"/>
                    </a:xfrm>
                    <a:prstGeom prst="rect"/>
                  </pic:spPr>
                </pic:pic>
              </a:graphicData>
            </a:graphic>
          </wp:inline>
        </w:drawing>
      </w:r>
    </w:p>
    <w:p/>
    <w:p>
      <w:r>
        <w:rPr>
          <w:b/>
        </w:rPr>
        <w:t>图4  技术对比图</w:t>
      </w:r>
    </w:p>
    <w:p>
      <w:r>
        <w:t>现有技术与本发明的技术对比。展示本发明在核心技术维度相对于现有方案的改进与差异化优势。</w:t>
      </w:r>
    </w:p>
    <w:p>
      <w:pPr>
        <w:jc w:val="center"/>
      </w:pPr>
      <w:r>
        <w:drawing>
          <wp:inline xmlns:a="http://schemas.openxmlformats.org/drawingml/2006/main" xmlns:pic="http://schemas.openxmlformats.org/drawingml/2006/picture">
            <wp:extent cx="5040000" cy="1421258"/>
            <wp:docPr id="4" name="Picture 4"/>
            <wp:cNvGraphicFramePr>
              <a:graphicFrameLocks noChangeAspect="1"/>
            </wp:cNvGraphicFramePr>
            <a:graphic>
              <a:graphicData uri="http://schemas.openxmlformats.org/drawingml/2006/picture">
                <pic:pic>
                  <pic:nvPicPr>
                    <pic:cNvPr id="0" name="task_174_图4_技术对比图.png"/>
                    <pic:cNvPicPr/>
                  </pic:nvPicPr>
                  <pic:blipFill>
                    <a:blip r:embed="rId14"/>
                    <a:stretch>
                      <a:fillRect/>
                    </a:stretch>
                  </pic:blipFill>
                  <pic:spPr>
                    <a:xfrm>
                      <a:off x="0" y="0"/>
                      <a:ext cx="5040000" cy="1421258"/>
                    </a:xfrm>
                    <a:prstGeom prst="rect"/>
                  </pic:spPr>
                </pic:pic>
              </a:graphicData>
            </a:graphic>
          </wp:inline>
        </w:drawing>
      </w:r>
    </w:p>
    <w:p/>
    <w:p>
      <w:pPr>
        <w:pStyle w:val="Heading1"/>
      </w:pPr>
      <w:r>
        <w:t>六、具体实施方式</w:t>
      </w:r>
    </w:p>
    <w:p>
      <w:r>
        <w:t>以下以一组完全具体的参数值，展示本发明在一个基于现场可编程门阵列（FPGA, Field Programmable Gate Array）的工业以太网交换机原型上的完整工作流程。实验平台：Xilinx Zynq Ultra Scale+ MPSoC ZCU102评估板模拟交换机主控，外接4个千兆工业以太网端口，集成温度传感器（精度±0.5°C）和电压监控芯片（精度±10mV）。软件环境：Petalinux 2021.2，深度学习加速器采用Vitis 人工智能（AI, Artificial Intelligence）实现，前向推理（自编码器重构+MC Dropout）在DPU加速器上执行，在线增量学习的反向传播在ARM Cortex-A53核心上执行。</w:t>
      </w:r>
    </w:p>
    <w:p>
      <w:r>
        <w:rPr>
          <w:sz w:val="22"/>
        </w:rPr>
        <w:t>系统初始化：轻量级深度自编码器结构为输入层128维，编码器三层全连接（128→64→32），解码器对称（32→64→128），激活函数为修正线性单元（ReLU, Rectified Linear Unit）。Dropout率设置为0.2。蒙特卡洛Dropout推理次数T=20。滑动窗口缓存大小N=256。在线学习批量大小B=64，学习率</w:t>
      </w:r>
      <m:oMath>
        <m:box>
          <m:e>
            <m:r>
              <m:rPr>
                <m:sty m:val="i"/>
              </m:rPr>
              <w:rPr>
                <w:rFonts w:ascii="Cambria Math" w:hAnsi="Cambria Math" w:cs="Cambria Math"/>
                <w:sz w:val="18"/>
                <w:szCs w:val="18"/>
              </w:rPr>
              <m:t>μ</m:t>
            </m:r>
            <m:r>
              <m:rPr>
                <m:sty m:val="p"/>
              </m:rPr>
              <w:rPr>
                <w:rFonts w:ascii="Cambria Math" w:hAnsi="Cambria Math" w:cs="Cambria Math"/>
                <w:sz w:val="18"/>
                <w:szCs w:val="18"/>
              </w:rPr>
              <m:t>=</m:t>
            </m:r>
            <m:r>
              <m:rPr>
                <m:sty m:val="p"/>
              </m:rPr>
              <w:rPr>
                <w:rFonts w:ascii="Cambria Math" w:hAnsi="Cambria Math" w:cs="Cambria Math"/>
                <w:sz w:val="18"/>
                <w:szCs w:val="18"/>
              </w:rPr>
              <m:t>0.001</m:t>
            </m:r>
          </m:e>
        </m:box>
      </m:oMath>
      <w:r>
        <w:rPr>
          <w:sz w:val="22"/>
        </w:rPr>
        <w:t>，EWC正则系数</w:t>
      </w:r>
      <m:oMath>
        <m:box>
          <m:e>
            <m:r>
              <m:rPr>
                <m:sty m:val="i"/>
              </m:rPr>
              <w:rPr>
                <w:rFonts w:ascii="Cambria Math" w:hAnsi="Cambria Math" w:cs="Cambria Math"/>
                <w:sz w:val="18"/>
                <w:szCs w:val="18"/>
              </w:rPr>
              <m:t>λ</m:t>
            </m:r>
            <m:r>
              <m:rPr>
                <m:sty m:val="p"/>
              </m:rPr>
              <w:rPr>
                <w:rFonts w:ascii="Cambria Math" w:hAnsi="Cambria Math" w:cs="Cambria Math"/>
                <w:sz w:val="18"/>
                <w:szCs w:val="18"/>
              </w:rPr>
              <m:t>=</m:t>
            </m:r>
            <m:r>
              <m:rPr>
                <m:sty m:val="p"/>
              </m:rPr>
              <w:rPr>
                <w:rFonts w:ascii="Cambria Math" w:hAnsi="Cambria Math" w:cs="Cambria Math"/>
                <w:sz w:val="18"/>
                <w:szCs w:val="18"/>
              </w:rPr>
              <m:t>0.1</m:t>
            </m:r>
          </m:e>
        </m:box>
      </m:oMath>
      <w:r>
        <w:rPr>
          <w:sz w:val="22"/>
        </w:rPr>
        <w:t>。初始模型通过出厂预训练获得，训练数据集来源于多种工业场景的混合正常流量样本；系统冷启动期间（初始模型尚未收敛时），临时切换至规则匹配模式并提高告警门限。</w:t>
      </w:r>
    </w:p>
    <w:p>
      <w:r>
        <w:t>1. 数值实施例：</w:t>
      </w:r>
    </w:p>
    <w:p>
      <w:r>
        <w:rPr>
          <w:sz w:val="22"/>
        </w:rPr>
        <w:t>S1：多协议解析模块以线速采集端口数据包。当前周期采集到一个疑似异常的Profinet RT数据包序列：包长序列[64, 128, 64, 256, 64, 128, 64, 512]字节，到达间隔[0.5, 0.5, 0.5, 0.5, 0.5, 0.5, 0.5]ms，源媒体访问控制（MAC, Media Access Control）地址0x00_0A_35_01_02_03，目的MAC地址0x00_0A_35_04_05_06。协议识别状态机通过匹配帧头0x8892自动识别为Profinet协议，提取128维特征向量，其中前8维为包长统计特征，第9至16维为时间间隔特征，第17至24维为连接模式特征，第25至32维为协议相关特征，其余维度为流量统计特征（示例中仅展示部分代表性分量，其余分量以具体实验平台实测为准）。示例特征向量x的部分分量为</w:t>
      </w:r>
      <m:oMath>
        <m:box>
          <m:e>
            <m:r>
              <m:rPr>
                <m:sty m:val="i"/>
              </m:rPr>
              <w:rPr>
                <w:rFonts w:ascii="Cambria Math" w:hAnsi="Cambria Math" w:cs="Cambria Math"/>
                <w:sz w:val="18"/>
                <w:szCs w:val="18"/>
              </w:rPr>
              <m:t>：</m:t>
            </m:r>
            <m:r>
              <m:rPr>
                <m:sty m:val="p"/>
              </m:rPr>
              <w:rPr>
                <w:rFonts w:ascii="Cambria Math" w:hAnsi="Cambria Math" w:cs="Cambria Math"/>
                <w:sz w:val="18"/>
                <w:szCs w:val="18"/>
              </w:rPr>
              <m:t>[</m:t>
            </m:r>
            <m:r>
              <m:rPr>
                <m:sty m:val="p"/>
              </m:rPr>
              <w:rPr>
                <w:rFonts w:ascii="Cambria Math" w:hAnsi="Cambria Math" w:cs="Cambria Math"/>
                <w:sz w:val="18"/>
                <w:szCs w:val="18"/>
              </w:rPr>
              <m:t>160</m:t>
            </m:r>
            <m:r>
              <m:rPr>
                <m:sty m:val="p"/>
              </m:rPr>
              <w:rPr>
                <w:rFonts w:ascii="Cambria Math" w:hAnsi="Cambria Math" w:cs="Cambria Math"/>
                <w:sz w:val="18"/>
                <w:szCs w:val="18"/>
              </w:rPr>
              <m:t>,</m:t>
            </m:r>
            <m:r>
              <m:rPr>
                <m:sty m:val="p"/>
              </m:rPr>
              <w:rPr>
                <w:rFonts w:ascii="Cambria Math" w:hAnsi="Cambria Math" w:cs="Cambria Math"/>
                <w:sz w:val="18"/>
                <w:szCs w:val="18"/>
              </w:rPr>
              <m:t>19025.5</m:t>
            </m:r>
            <m:r>
              <m:rPr>
                <m:sty m:val="p"/>
              </m:rPr>
              <w:rPr>
                <w:rFonts w:ascii="Cambria Math" w:hAnsi="Cambria Math" w:cs="Cambria Math"/>
                <w:sz w:val="18"/>
                <w:szCs w:val="18"/>
              </w:rPr>
              <m:t>,</m:t>
            </m:r>
            <m:r>
              <m:rPr>
                <m:sty m:val="p"/>
              </m:rPr>
              <w:rPr>
                <w:rFonts w:ascii="Cambria Math" w:hAnsi="Cambria Math" w:cs="Cambria Math"/>
                <w:sz w:val="18"/>
                <w:szCs w:val="18"/>
              </w:rPr>
              <m:t>0.5</m:t>
            </m:r>
            <m:r>
              <m:rPr>
                <m:sty m:val="p"/>
              </m:rPr>
              <w:rPr>
                <w:rFonts w:ascii="Cambria Math" w:hAnsi="Cambria Math" w:cs="Cambria Math"/>
                <w:sz w:val="18"/>
                <w:szCs w:val="18"/>
              </w:rPr>
              <m:t>,</m:t>
            </m:r>
            <m:r>
              <m:rPr>
                <m:sty m:val="p"/>
              </m:rPr>
              <w:rPr>
                <w:rFonts w:ascii="Cambria Math" w:hAnsi="Cambria Math" w:cs="Cambria Math"/>
                <w:sz w:val="18"/>
                <w:szCs w:val="18"/>
              </w:rPr>
              <m:t>0.0</m:t>
            </m:r>
            <m:r>
              <m:rPr>
                <m:sty m:val="p"/>
              </m:rPr>
              <w:rPr>
                <w:rFonts w:ascii="Cambria Math" w:hAnsi="Cambria Math" w:cs="Cambria Math"/>
                <w:sz w:val="18"/>
                <w:szCs w:val="18"/>
              </w:rPr>
              <m:t>,</m:t>
            </m:r>
            <m:r>
              <m:rPr>
                <m:sty m:val="p"/>
              </m:rPr>
              <w:rPr>
                <w:rFonts w:ascii="Cambria Math" w:hAnsi="Cambria Math" w:cs="Cambria Math"/>
                <w:sz w:val="18"/>
                <w:szCs w:val="18"/>
              </w:rPr>
              <m:t>2</m:t>
            </m:r>
            <m:r>
              <m:rPr>
                <m:sty m:val="p"/>
              </m:rPr>
              <w:rPr>
                <w:rFonts w:ascii="Cambria Math" w:hAnsi="Cambria Math" w:cs="Cambria Math"/>
                <w:sz w:val="18"/>
                <w:szCs w:val="18"/>
              </w:rPr>
              <m:t>,</m:t>
            </m:r>
            <m:r>
              <m:rPr>
                <m:sty m:val="p"/>
              </m:rPr>
              <w:rPr>
                <w:rFonts w:ascii="Cambria Math" w:hAnsi="Cambria Math" w:cs="Cambria Math"/>
                <w:sz w:val="18"/>
                <w:szCs w:val="18"/>
              </w:rPr>
              <m:t>4.0</m:t>
            </m:r>
            <m:r>
              <m:rPr>
                <m:sty m:val="p"/>
              </m:rPr>
              <w:rPr>
                <w:rFonts w:ascii="Cambria Math" w:hAnsi="Cambria Math" w:cs="Cambria Math"/>
                <w:sz w:val="18"/>
                <w:szCs w:val="18"/>
              </w:rPr>
              <m:t>,</m:t>
            </m:r>
            <m:r>
              <m:rPr>
                <m:sty m:val="p"/>
              </m:rPr>
              <w:rPr>
                <w:rFonts w:ascii="Cambria Math" w:hAnsi="Cambria Math" w:cs="Cambria Math"/>
                <w:sz w:val="18"/>
                <w:szCs w:val="18"/>
              </w:rPr>
              <m:t>1.2</m:t>
            </m:r>
            <m:r>
              <m:rPr>
                <m:sty m:val="p"/>
              </m:rPr>
              <w:rPr>
                <w:rFonts w:ascii="Cambria Math" w:hAnsi="Cambria Math" w:cs="Cambria Math"/>
                <w:sz w:val="18"/>
                <w:szCs w:val="18"/>
              </w:rPr>
              <m:t>,</m:t>
            </m:r>
            <m:r>
              <m:rPr>
                <m:sty m:val="p"/>
              </m:rPr>
              <w:rPr>
                <w:rFonts w:ascii="Cambria Math" w:hAnsi="Cambria Math" w:cs="Cambria Math"/>
                <w:sz w:val="18"/>
                <w:szCs w:val="18"/>
              </w:rPr>
              <m:t>0.8</m:t>
            </m:r>
            <m:r>
              <m:rPr>
                <m:sty m:val="p"/>
              </m:rPr>
              <w:rPr>
                <w:rFonts w:ascii="Cambria Math" w:hAnsi="Cambria Math" w:cs="Cambria Math"/>
                <w:sz w:val="18"/>
                <w:szCs w:val="18"/>
              </w:rPr>
              <m:t>,</m:t>
            </m:r>
            <m:r>
              <m:rPr>
                <m:sty m:val="p"/>
              </m:rPr>
              <w:rPr>
                <w:rFonts w:ascii="Cambria Math" w:hAnsi="Cambria Math" w:cs="Cambria Math"/>
                <w:sz w:val="18"/>
                <w:szCs w:val="18"/>
              </w:rPr>
              <m:t>3.5</m:t>
            </m:r>
            <m:r>
              <m:rPr>
                <m:sty m:val="p"/>
              </m:rPr>
              <w:rPr>
                <w:rFonts w:ascii="Cambria Math" w:hAnsi="Cambria Math" w:cs="Cambria Math"/>
                <w:sz w:val="18"/>
                <w:szCs w:val="18"/>
              </w:rPr>
              <m:t>,</m:t>
            </m:r>
            <m:r>
              <m:rPr>
                <m:sty m:val="p"/>
              </m:rPr>
              <w:rPr>
                <w:rFonts w:ascii="Cambria Math" w:hAnsi="Cambria Math" w:cs="Cambria Math"/>
                <w:sz w:val="18"/>
                <w:szCs w:val="18"/>
              </w:rPr>
              <m:t>0.3</m:t>
            </m:r>
            <m:r>
              <m:rPr>
                <m:sty m:val="p"/>
              </m:rPr>
              <w:rPr>
                <w:rFonts w:ascii="Cambria Math" w:hAnsi="Cambria Math" w:cs="Cambria Math"/>
                <w:sz w:val="18"/>
                <w:szCs w:val="18"/>
              </w:rPr>
              <m:t>,</m:t>
            </m:r>
            <m:r>
              <m:rPr>
                <m:sty m:val="p"/>
              </m:rPr>
              <w:rPr>
                <w:rFonts w:ascii="Cambria Math" w:hAnsi="Cambria Math" w:cs="Cambria Math"/>
                <w:sz w:val="18"/>
                <w:szCs w:val="18"/>
              </w:rPr>
              <m:t>2.1</m:t>
            </m:r>
            <m:r>
              <m:rPr>
                <m:sty m:val="p"/>
              </m:rPr>
              <w:rPr>
                <w:rFonts w:ascii="Cambria Math" w:hAnsi="Cambria Math" w:cs="Cambria Math"/>
                <w:sz w:val="18"/>
                <w:szCs w:val="18"/>
              </w:rPr>
              <m:t>,</m:t>
            </m:r>
            <m:r>
              <m:rPr>
                <m:sty m:val="p"/>
              </m:rPr>
              <w:rPr>
                <w:rFonts w:ascii="Cambria Math" w:hAnsi="Cambria Math" w:cs="Cambria Math"/>
                <w:sz w:val="18"/>
                <w:szCs w:val="18"/>
              </w:rPr>
              <m:t>.</m:t>
            </m:r>
            <m:r>
              <m:rPr>
                <m:sty m:val="p"/>
              </m:rPr>
              <w:rPr>
                <w:rFonts w:ascii="Cambria Math" w:hAnsi="Cambria Math" w:cs="Cambria Math"/>
                <w:sz w:val="18"/>
                <w:szCs w:val="18"/>
              </w:rPr>
              <m:t>.</m:t>
            </m:r>
            <m:r>
              <m:rPr>
                <m:sty m:val="p"/>
              </m:rPr>
              <w:rPr>
                <w:rFonts w:ascii="Cambria Math" w:hAnsi="Cambria Math" w:cs="Cambria Math"/>
                <w:sz w:val="18"/>
                <w:szCs w:val="18"/>
              </w:rPr>
              <m:t>.</m:t>
            </m:r>
            <m:r>
              <m:rPr>
                <m:sty m:val="p"/>
              </m:rPr>
              <w:rPr>
                <w:rFonts w:ascii="Cambria Math" w:hAnsi="Cambria Math" w:cs="Cambria Math"/>
                <w:sz w:val="18"/>
                <w:szCs w:val="18"/>
              </w:rPr>
              <m:t>]</m:t>
            </m:r>
          </m:e>
        </m:box>
      </m:oMath>
      <w:r>
        <w:rPr>
          <w:sz w:val="22"/>
        </w:rPr>
        <w:t>。</w:t>
      </w:r>
    </w:p>
    <w:p>
      <w:r>
        <w:rPr>
          <w:sz w:val="22"/>
        </w:rPr>
        <w:t>S2：将特征向量x输入分布式在线检测引擎。深度自编码器前向传播，编码器输出潜在向量z（32维），解码器重构输出x'。计算重构误差L = ||x-x'||^2，确定性前向传播重构误差约为50709.25。执行T=20次带Dropout的前向传播，由于Dropout引入随机性，首次推理结果偏移至51250.8，得到重构误差序列[51250.8, 52310.2, 50890.5, ..., 51980.4]，计算均值</w:t>
      </w:r>
      <m:oMath>
        <m:box>
          <m:e>
            <m:r>
              <m:rPr>
                <m:sty m:val="i"/>
              </m:rPr>
              <w:rPr>
                <w:rFonts w:ascii="Cambria Math" w:hAnsi="Cambria Math" w:cs="Cambria Math"/>
                <w:sz w:val="18"/>
                <w:szCs w:val="18"/>
              </w:rPr>
              <m:t>μ</m:t>
            </m:r>
            <m:r>
              <m:rPr>
                <m:sty m:val="p"/>
              </m:rPr>
              <w:rPr>
                <w:rFonts w:ascii="Cambria Math" w:hAnsi="Cambria Math" w:cs="Cambria Math"/>
                <w:sz w:val="18"/>
                <w:szCs w:val="18"/>
              </w:rPr>
              <m:t>=</m:t>
            </m:r>
            <m:r>
              <m:rPr>
                <m:sty m:val="p"/>
              </m:rPr>
              <w:rPr>
                <w:rFonts w:ascii="Cambria Math" w:hAnsi="Cambria Math" w:cs="Cambria Math"/>
                <w:sz w:val="18"/>
                <w:szCs w:val="18"/>
              </w:rPr>
              <m:t>51500.3</m:t>
            </m:r>
          </m:e>
        </m:box>
      </m:oMath>
      <w:r>
        <w:rPr>
          <w:sz w:val="22"/>
        </w:rPr>
        <w:t>，方差</w:t>
      </w:r>
      <m:oMath>
        <m:box>
          <m:e>
            <m:sSup>
              <m:e>
                <m:r>
                  <m:rPr>
                    <m:sty m:val="i"/>
                  </m:rPr>
                  <w:rPr>
                    <w:rFonts w:ascii="Cambria Math" w:hAnsi="Cambria Math" w:cs="Cambria Math"/>
                    <w:sz w:val="18"/>
                    <w:szCs w:val="18"/>
                  </w:rPr>
                  <m:t>σ</m:t>
                </m:r>
              </m:e>
              <m:sup>
                <m:r>
                  <m:rPr>
                    <m:sty m:val="p"/>
                  </m:rPr>
                  <w:rPr>
                    <w:rFonts w:ascii="Cambria Math" w:hAnsi="Cambria Math" w:cs="Cambria Math"/>
                    <w:sz w:val="18"/>
                    <w:szCs w:val="18"/>
                  </w:rPr>
                  <m:t>2</m:t>
                </m:r>
              </m:sup>
            </m:sSup>
            <m:r>
              <m:rPr>
                <m:sty m:val="p"/>
              </m:rPr>
              <w:rPr>
                <w:rFonts w:ascii="Cambria Math" w:hAnsi="Cambria Math" w:cs="Cambria Math"/>
                <w:sz w:val="18"/>
                <w:szCs w:val="18"/>
              </w:rPr>
              <m:t>=</m:t>
            </m:r>
            <m:r>
              <m:rPr>
                <m:sty m:val="p"/>
              </m:rPr>
              <w:rPr>
                <w:rFonts w:ascii="Cambria Math" w:hAnsi="Cambria Math" w:cs="Cambria Math"/>
                <w:sz w:val="18"/>
                <w:szCs w:val="18"/>
              </w:rPr>
              <m:t>35201.6</m:t>
            </m:r>
          </m:e>
        </m:box>
      </m:oMath>
      <w:r>
        <w:rPr>
          <w:sz w:val="22"/>
        </w:rPr>
        <w:t>。</w:t>
      </w:r>
    </w:p>
    <w:p>
      <w:r>
        <w:rPr>
          <w:sz w:val="22"/>
        </w:rPr>
        <w:t>S3：双重不确定性量化模块将总方差分解。认知不确定性σ_epistemic通过计算T次预测的方差得到，</w:t>
      </w:r>
      <m:oMath>
        <m:box>
          <m:e>
            <m:sSubSup>
              <m:e>
                <m:r>
                  <m:rPr>
                    <m:sty m:val="i"/>
                  </m:rPr>
                  <w:rPr>
                    <w:rFonts w:ascii="Cambria Math" w:hAnsi="Cambria Math" w:cs="Cambria Math"/>
                    <w:sz w:val="18"/>
                    <w:szCs w:val="18"/>
                  </w:rPr>
                  <m:t>σ</m:t>
                </m:r>
              </m:e>
              <m:sub>
                <m:box>
                  <m:e>
                    <m:box>
                      <m:e>
                        <m:r>
                          <m:rPr>
                            <m:sty m:val="p"/>
                          </m:rPr>
                          <w:rPr>
                            <w:rFonts w:ascii="Cambria Math" w:hAnsi="Cambria Math" w:cs="Cambria Math"/>
                            <w:sz w:val="18"/>
                            <w:szCs w:val="18"/>
                          </w:rPr>
                          <m:t>e</m:t>
                        </m:r>
                        <m:r>
                          <m:rPr>
                            <m:sty m:val="p"/>
                          </m:rPr>
                          <w:rPr>
                            <w:rFonts w:ascii="Cambria Math" w:hAnsi="Cambria Math" w:cs="Cambria Math"/>
                            <w:sz w:val="18"/>
                            <w:szCs w:val="18"/>
                          </w:rPr>
                          <m:t>p</m:t>
                        </m:r>
                        <m:r>
                          <m:rPr>
                            <m:sty m:val="p"/>
                          </m:rPr>
                          <w:rPr>
                            <w:rFonts w:ascii="Cambria Math" w:hAnsi="Cambria Math" w:cs="Cambria Math"/>
                            <w:sz w:val="18"/>
                            <w:szCs w:val="18"/>
                          </w:rPr>
                          <m:t>i</m:t>
                        </m:r>
                        <m:r>
                          <m:rPr>
                            <m:sty m:val="p"/>
                          </m:rPr>
                          <w:rPr>
                            <w:rFonts w:ascii="Cambria Math" w:hAnsi="Cambria Math" w:cs="Cambria Math"/>
                            <w:sz w:val="18"/>
                            <w:szCs w:val="18"/>
                          </w:rPr>
                          <m:t>s</m:t>
                        </m:r>
                        <m:r>
                          <m:rPr>
                            <m:sty m:val="p"/>
                          </m:rPr>
                          <w:rPr>
                            <w:rFonts w:ascii="Cambria Math" w:hAnsi="Cambria Math" w:cs="Cambria Math"/>
                            <w:sz w:val="18"/>
                            <w:szCs w:val="18"/>
                          </w:rPr>
                          <m:t>t</m:t>
                        </m:r>
                        <m:r>
                          <m:rPr>
                            <m:sty m:val="p"/>
                          </m:rPr>
                          <w:rPr>
                            <w:rFonts w:ascii="Cambria Math" w:hAnsi="Cambria Math" w:cs="Cambria Math"/>
                            <w:sz w:val="18"/>
                            <w:szCs w:val="18"/>
                          </w:rPr>
                          <m:t>e</m:t>
                        </m:r>
                        <m:r>
                          <m:rPr>
                            <m:sty m:val="p"/>
                          </m:rPr>
                          <w:rPr>
                            <w:rFonts w:ascii="Cambria Math" w:hAnsi="Cambria Math" w:cs="Cambria Math"/>
                            <w:sz w:val="18"/>
                            <w:szCs w:val="18"/>
                          </w:rPr>
                          <m:t>m</m:t>
                        </m:r>
                        <m:r>
                          <m:rPr>
                            <m:sty m:val="p"/>
                          </m:rPr>
                          <w:rPr>
                            <w:rFonts w:ascii="Cambria Math" w:hAnsi="Cambria Math" w:cs="Cambria Math"/>
                            <w:sz w:val="18"/>
                            <w:szCs w:val="18"/>
                          </w:rPr>
                          <m:t>i</m:t>
                        </m:r>
                        <m:r>
                          <m:rPr>
                            <m:sty m:val="p"/>
                          </m:rPr>
                          <w:rPr>
                            <w:rFonts w:ascii="Cambria Math" w:hAnsi="Cambria Math" w:cs="Cambria Math"/>
                            <w:sz w:val="18"/>
                            <w:szCs w:val="18"/>
                          </w:rPr>
                          <m:t>c</m:t>
                        </m:r>
                      </m:e>
                    </m:box>
                  </m:e>
                </m:box>
              </m:sub>
              <m:sup>
                <m:r>
                  <m:rPr>
                    <m:sty m:val="p"/>
                  </m:rPr>
                  <w:rPr>
                    <w:rFonts w:ascii="Cambria Math" w:hAnsi="Cambria Math" w:cs="Cambria Math"/>
                    <w:sz w:val="18"/>
                    <w:szCs w:val="18"/>
                  </w:rPr>
                  <m:t>2</m:t>
                </m:r>
              </m:sup>
            </m:sSubSup>
            <m:r>
              <m:rPr>
                <m:sty m:val="p"/>
              </m:rPr>
              <w:rPr>
                <w:rFonts w:ascii="Cambria Math" w:hAnsi="Cambria Math" w:cs="Cambria Math"/>
                <w:sz w:val="18"/>
                <w:szCs w:val="18"/>
              </w:rPr>
              <m:t>≈</m:t>
            </m:r>
            <m:r>
              <m:rPr>
                <m:sty m:val="p"/>
              </m:rPr>
              <w:rPr>
                <w:rFonts w:ascii="Cambria Math" w:hAnsi="Cambria Math" w:cs="Cambria Math"/>
                <w:sz w:val="18"/>
                <w:szCs w:val="18"/>
              </w:rPr>
              <m:t>35201.6</m:t>
            </m:r>
          </m:e>
        </m:box>
      </m:oMath>
      <w:r>
        <w:rPr>
          <w:sz w:val="22"/>
        </w:rPr>
        <w:t>。偶然不确定性σ_aleatoric通过解码器双输出头（均值输出头和对数方差输出头）以最大化对数似然为训练目标，从对数方差输出头直接获取，当前样本的偶然不确定性估计为</w:t>
      </w:r>
      <m:oMath>
        <m:box>
          <m:e>
            <m:sSubSup>
              <m:e>
                <m:r>
                  <m:rPr>
                    <m:sty m:val="i"/>
                  </m:rPr>
                  <w:rPr>
                    <w:rFonts w:ascii="Cambria Math" w:hAnsi="Cambria Math" w:cs="Cambria Math"/>
                    <w:sz w:val="18"/>
                    <w:szCs w:val="18"/>
                  </w:rPr>
                  <m:t>σ</m:t>
                </m:r>
              </m:e>
              <m:sub>
                <m:box>
                  <m:e>
                    <m:box>
                      <m:e>
                        <m:r>
                          <m:rPr>
                            <m:sty m:val="p"/>
                          </m:rPr>
                          <w:rPr>
                            <w:rFonts w:ascii="Cambria Math" w:hAnsi="Cambria Math" w:cs="Cambria Math"/>
                            <w:sz w:val="18"/>
                            <w:szCs w:val="18"/>
                          </w:rPr>
                          <m:t>a</m:t>
                        </m:r>
                        <m:r>
                          <m:rPr>
                            <m:sty m:val="p"/>
                          </m:rPr>
                          <w:rPr>
                            <w:rFonts w:ascii="Cambria Math" w:hAnsi="Cambria Math" w:cs="Cambria Math"/>
                            <w:sz w:val="18"/>
                            <w:szCs w:val="18"/>
                          </w:rPr>
                          <m:t>l</m:t>
                        </m:r>
                        <m:r>
                          <m:rPr>
                            <m:sty m:val="p"/>
                          </m:rPr>
                          <w:rPr>
                            <w:rFonts w:ascii="Cambria Math" w:hAnsi="Cambria Math" w:cs="Cambria Math"/>
                            <w:sz w:val="18"/>
                            <w:szCs w:val="18"/>
                          </w:rPr>
                          <m:t>e</m:t>
                        </m:r>
                        <m:r>
                          <m:rPr>
                            <m:sty m:val="p"/>
                          </m:rPr>
                          <w:rPr>
                            <w:rFonts w:ascii="Cambria Math" w:hAnsi="Cambria Math" w:cs="Cambria Math"/>
                            <w:sz w:val="18"/>
                            <w:szCs w:val="18"/>
                          </w:rPr>
                          <m:t>a</m:t>
                        </m:r>
                        <m:r>
                          <m:rPr>
                            <m:sty m:val="p"/>
                          </m:rPr>
                          <w:rPr>
                            <w:rFonts w:ascii="Cambria Math" w:hAnsi="Cambria Math" w:cs="Cambria Math"/>
                            <w:sz w:val="18"/>
                            <w:szCs w:val="18"/>
                          </w:rPr>
                          <m:t>t</m:t>
                        </m:r>
                        <m:r>
                          <m:rPr>
                            <m:sty m:val="p"/>
                          </m:rPr>
                          <w:rPr>
                            <w:rFonts w:ascii="Cambria Math" w:hAnsi="Cambria Math" w:cs="Cambria Math"/>
                            <w:sz w:val="18"/>
                            <w:szCs w:val="18"/>
                          </w:rPr>
                          <m:t>o</m:t>
                        </m:r>
                        <m:r>
                          <m:rPr>
                            <m:sty m:val="p"/>
                          </m:rPr>
                          <w:rPr>
                            <w:rFonts w:ascii="Cambria Math" w:hAnsi="Cambria Math" w:cs="Cambria Math"/>
                            <w:sz w:val="18"/>
                            <w:szCs w:val="18"/>
                          </w:rPr>
                          <m:t>r</m:t>
                        </m:r>
                        <m:r>
                          <m:rPr>
                            <m:sty m:val="p"/>
                          </m:rPr>
                          <w:rPr>
                            <w:rFonts w:ascii="Cambria Math" w:hAnsi="Cambria Math" w:cs="Cambria Math"/>
                            <w:sz w:val="18"/>
                            <w:szCs w:val="18"/>
                          </w:rPr>
                          <m:t>i</m:t>
                        </m:r>
                        <m:r>
                          <m:rPr>
                            <m:sty m:val="p"/>
                          </m:rPr>
                          <w:rPr>
                            <w:rFonts w:ascii="Cambria Math" w:hAnsi="Cambria Math" w:cs="Cambria Math"/>
                            <w:sz w:val="18"/>
                            <w:szCs w:val="18"/>
                          </w:rPr>
                          <m:t>c</m:t>
                        </m:r>
                      </m:e>
                    </m:box>
                  </m:e>
                </m:box>
              </m:sub>
              <m:sup>
                <m:r>
                  <m:rPr>
                    <m:sty m:val="p"/>
                  </m:rPr>
                  <w:rPr>
                    <w:rFonts w:ascii="Cambria Math" w:hAnsi="Cambria Math" w:cs="Cambria Math"/>
                    <w:sz w:val="18"/>
                    <w:szCs w:val="18"/>
                  </w:rPr>
                  <m:t>2</m:t>
                </m:r>
              </m:sup>
            </m:sSubSup>
            <m:r>
              <m:rPr>
                <m:sty m:val="p"/>
              </m:rPr>
              <w:rPr>
                <w:rFonts w:ascii="Cambria Math" w:hAnsi="Cambria Math" w:cs="Cambria Math"/>
                <w:sz w:val="18"/>
                <w:szCs w:val="18"/>
              </w:rPr>
              <m:t>≈</m:t>
            </m:r>
            <m:r>
              <m:rPr>
                <m:sty m:val="p"/>
              </m:rPr>
              <w:rPr>
                <w:rFonts w:ascii="Cambria Math" w:hAnsi="Cambria Math" w:cs="Cambria Math"/>
                <w:sz w:val="18"/>
                <w:szCs w:val="18"/>
              </w:rPr>
              <m:t>10500.0</m:t>
            </m:r>
          </m:e>
        </m:box>
      </m:oMath>
      <w:r>
        <w:rPr>
          <w:sz w:val="22"/>
        </w:rPr>
        <w:t>。取置信度公式权重</w:t>
      </w:r>
      <m:oMath>
        <m:box>
          <m:e>
            <m:sSub>
              <m:e>
                <m:r>
                  <m:rPr>
                    <m:sty m:val="i"/>
                  </m:rPr>
                  <w:rPr>
                    <w:rFonts w:ascii="Cambria Math" w:hAnsi="Cambria Math" w:cs="Cambria Math"/>
                    <w:sz w:val="18"/>
                    <w:szCs w:val="18"/>
                  </w:rPr>
                  <m:t>w</m:t>
                </m:r>
              </m:e>
              <m:sub>
                <m:r>
                  <m:rPr>
                    <m:sty m:val="i"/>
                  </m:rPr>
                  <w:rPr>
                    <w:rFonts w:ascii="Cambria Math" w:hAnsi="Cambria Math" w:cs="Cambria Math"/>
                    <w:sz w:val="18"/>
                    <w:szCs w:val="18"/>
                  </w:rPr>
                  <m:t>e</m:t>
                </m:r>
              </m:sub>
            </m:sSub>
            <m:r>
              <m:rPr>
                <m:sty m:val="p"/>
              </m:rPr>
              <w:rPr>
                <w:rFonts w:ascii="Cambria Math" w:hAnsi="Cambria Math" w:cs="Cambria Math"/>
                <w:sz w:val="18"/>
                <w:szCs w:val="18"/>
              </w:rPr>
              <m:t>=</m:t>
            </m:r>
            <m:r>
              <m:rPr>
                <m:sty m:val="p"/>
              </m:rPr>
              <w:rPr>
                <w:rFonts w:ascii="Cambria Math" w:hAnsi="Cambria Math" w:cs="Cambria Math"/>
                <w:sz w:val="18"/>
                <w:szCs w:val="18"/>
              </w:rPr>
              <m:t>0.005</m:t>
            </m:r>
            <m:r>
              <m:rPr>
                <m:sty m:val="p"/>
              </m:rPr>
              <w:rPr>
                <w:rFonts w:ascii="Cambria Math" w:hAnsi="Cambria Math" w:cs="Cambria Math"/>
                <w:sz w:val="18"/>
                <w:szCs w:val="18"/>
              </w:rPr>
              <m:t>,</m:t>
            </m:r>
            <m:sSub>
              <m:e>
                <m:r>
                  <m:rPr>
                    <m:sty m:val="i"/>
                  </m:rPr>
                  <w:rPr>
                    <w:rFonts w:ascii="Cambria Math" w:hAnsi="Cambria Math" w:cs="Cambria Math"/>
                    <w:sz w:val="18"/>
                    <w:szCs w:val="18"/>
                  </w:rPr>
                  <m:t>w</m:t>
                </m:r>
              </m:e>
              <m:sub>
                <m:r>
                  <m:rPr>
                    <m:sty m:val="i"/>
                  </m:rPr>
                  <w:rPr>
                    <w:rFonts w:ascii="Cambria Math" w:hAnsi="Cambria Math" w:cs="Cambria Math"/>
                    <w:sz w:val="18"/>
                    <w:szCs w:val="18"/>
                  </w:rPr>
                  <m:t>a</m:t>
                </m:r>
              </m:sub>
            </m:sSub>
            <m:r>
              <m:rPr>
                <m:sty m:val="p"/>
              </m:rPr>
              <w:rPr>
                <w:rFonts w:ascii="Cambria Math" w:hAnsi="Cambria Math" w:cs="Cambria Math"/>
                <w:sz w:val="18"/>
                <w:szCs w:val="18"/>
              </w:rPr>
              <m:t>=</m:t>
            </m:r>
            <m:r>
              <m:rPr>
                <m:sty m:val="p"/>
              </m:rPr>
              <w:rPr>
                <w:rFonts w:ascii="Cambria Math" w:hAnsi="Cambria Math" w:cs="Cambria Math"/>
                <w:sz w:val="18"/>
                <w:szCs w:val="18"/>
              </w:rPr>
              <m:t>0.01</m:t>
            </m:r>
          </m:e>
        </m:box>
      </m:oMath>
      <w:r>
        <w:rPr>
          <w:sz w:val="22"/>
        </w:rPr>
        <w:t>，计算综合置信度评分C=exp(-w_e·σ_epistemic - w_a·σ_aleatoric) = exp(-0.005×sqrt(35201.6) - 0.01×sqrt(10500.0)) = exp(-0.005×187.62 - 0.01×102.47) = exp(-0.938 - 1.025) = exp(-1.963) ≈ 0.141。预设门限</w:t>
      </w:r>
      <m:oMath>
        <m:box>
          <m:e>
            <m:sSub>
              <m:e>
                <m:r>
                  <m:rPr>
                    <m:sty m:val="i"/>
                  </m:rPr>
                  <w:rPr>
                    <w:rFonts w:ascii="Cambria Math" w:hAnsi="Cambria Math" w:cs="Cambria Math"/>
                    <w:sz w:val="18"/>
                    <w:szCs w:val="18"/>
                  </w:rPr>
                  <m:t>C</m:t>
                </m:r>
              </m:e>
              <m:sub>
                <m:box>
                  <m:e>
                    <m:box>
                      <m:e>
                        <m:r>
                          <m:rPr>
                            <m:sty m:val="p"/>
                          </m:rPr>
                          <w:rPr>
                            <w:rFonts w:ascii="Cambria Math" w:hAnsi="Cambria Math" w:cs="Cambria Math"/>
                            <w:sz w:val="18"/>
                            <w:szCs w:val="18"/>
                          </w:rPr>
                          <m:t>t</m:t>
                        </m:r>
                        <m:r>
                          <m:rPr>
                            <m:sty m:val="p"/>
                          </m:rPr>
                          <w:rPr>
                            <w:rFonts w:ascii="Cambria Math" w:hAnsi="Cambria Math" w:cs="Cambria Math"/>
                            <w:sz w:val="18"/>
                            <w:szCs w:val="18"/>
                          </w:rPr>
                          <m:t>h</m:t>
                        </m:r>
                      </m:e>
                    </m:box>
                  </m:e>
                </m:box>
              </m:sub>
            </m:sSub>
            <m:r>
              <m:rPr>
                <m:sty m:val="p"/>
              </m:rPr>
              <w:rPr>
                <w:rFonts w:ascii="Cambria Math" w:hAnsi="Cambria Math" w:cs="Cambria Math"/>
                <w:sz w:val="18"/>
                <w:szCs w:val="18"/>
              </w:rPr>
              <m:t>=</m:t>
            </m:r>
            <m:r>
              <m:rPr>
                <m:sty m:val="p"/>
              </m:rPr>
              <w:rPr>
                <w:rFonts w:ascii="Cambria Math" w:hAnsi="Cambria Math" w:cs="Cambria Math"/>
                <w:sz w:val="18"/>
                <w:szCs w:val="18"/>
              </w:rPr>
              <m:t>0.5</m:t>
            </m:r>
          </m:e>
        </m:box>
      </m:oMath>
      <w:r>
        <w:rPr>
          <w:sz w:val="22"/>
        </w:rPr>
        <w:t>，当前</w:t>
      </w:r>
      <m:oMath>
        <m:box>
          <m:e>
            <m:r>
              <m:rPr>
                <m:sty m:val="i"/>
              </m:rPr>
              <w:rPr>
                <w:rFonts w:ascii="Cambria Math" w:hAnsi="Cambria Math" w:cs="Cambria Math"/>
                <w:sz w:val="18"/>
                <w:szCs w:val="18"/>
              </w:rPr>
              <m:t>C</m:t>
            </m:r>
            <m:r>
              <m:rPr>
                <m:sty m:val="p"/>
              </m:rPr>
              <w:rPr>
                <w:rFonts w:ascii="Cambria Math" w:hAnsi="Cambria Math" w:cs="Cambria Math"/>
                <w:sz w:val="18"/>
                <w:szCs w:val="18"/>
              </w:rPr>
              <m:t>=</m:t>
            </m:r>
            <m:r>
              <m:rPr>
                <m:sty m:val="p"/>
              </m:rPr>
              <w:rPr>
                <w:rFonts w:ascii="Cambria Math" w:hAnsi="Cambria Math" w:cs="Cambria Math"/>
                <w:sz w:val="18"/>
                <w:szCs w:val="18"/>
              </w:rPr>
              <m:t>0.141</m:t>
            </m:r>
            <m:r>
              <m:rPr>
                <m:sty m:val="p"/>
              </m:rPr>
              <w:rPr>
                <w:rFonts w:ascii="Cambria Math" w:hAnsi="Cambria Math" w:cs="Cambria Math"/>
                <w:sz w:val="18"/>
                <w:szCs w:val="18"/>
              </w:rPr>
              <m:t>&lt;</m:t>
            </m:r>
            <m:r>
              <m:rPr>
                <m:sty m:val="p"/>
              </m:rPr>
              <w:rPr>
                <w:rFonts w:ascii="Cambria Math" w:hAnsi="Cambria Math" w:cs="Cambria Math"/>
                <w:sz w:val="18"/>
                <w:szCs w:val="18"/>
              </w:rPr>
              <m:t>0.5</m:t>
            </m:r>
          </m:e>
        </m:box>
      </m:oMath>
      <w:r>
        <w:rPr>
          <w:sz w:val="22"/>
        </w:rPr>
        <w:t>，判定为异常流量。</w:t>
      </w:r>
    </w:p>
    <w:p>
      <w:r>
        <w:t>S4：触发异常告警，将源MAC地址0x00_0A_35_01_02_03加入端口隔离列表，阻断后续流量，同时将特征向量和标签存入滑动窗口缓存。告警信息通过syslog上报网络管理系统。</w:t>
      </w:r>
    </w:p>
    <w:p>
      <w:r>
        <w:rPr>
          <w:sz w:val="22"/>
        </w:rPr>
        <w:t>S5：滑动窗口当前已累积256个样本，触发在线增量学习。构建批量数据，计算重构损失L_recon和EWC正则项L_EWC，其中EWC正则项采用对角近似的费雪信息矩阵F，在每次增量学习后更新；总损失</w:t>
      </w:r>
      <m:oMath>
        <m:box>
          <m:e>
            <m:sSub>
              <m:e>
                <m:r>
                  <m:rPr>
                    <m:sty m:val="i"/>
                  </m:rPr>
                  <w:rPr>
                    <w:rFonts w:ascii="Cambria Math" w:hAnsi="Cambria Math" w:cs="Cambria Math"/>
                    <w:sz w:val="18"/>
                    <w:szCs w:val="18"/>
                  </w:rPr>
                  <m:t>L</m:t>
                </m:r>
              </m:e>
              <m:sub>
                <m:box>
                  <m:e>
                    <m:box>
                      <m:e>
                        <m:r>
                          <m:rPr>
                            <m:sty m:val="p"/>
                          </m:rPr>
                          <w:rPr>
                            <w:rFonts w:ascii="Cambria Math" w:hAnsi="Cambria Math" w:cs="Cambria Math"/>
                            <w:sz w:val="18"/>
                            <w:szCs w:val="18"/>
                          </w:rPr>
                          <m:t>t</m:t>
                        </m:r>
                        <m:r>
                          <m:rPr>
                            <m:sty m:val="p"/>
                          </m:rPr>
                          <w:rPr>
                            <w:rFonts w:ascii="Cambria Math" w:hAnsi="Cambria Math" w:cs="Cambria Math"/>
                            <w:sz w:val="18"/>
                            <w:szCs w:val="18"/>
                          </w:rPr>
                          <m:t>o</m:t>
                        </m:r>
                        <m:r>
                          <m:rPr>
                            <m:sty m:val="p"/>
                          </m:rPr>
                          <w:rPr>
                            <w:rFonts w:ascii="Cambria Math" w:hAnsi="Cambria Math" w:cs="Cambria Math"/>
                            <w:sz w:val="18"/>
                            <w:szCs w:val="18"/>
                          </w:rPr>
                          <m:t>t</m:t>
                        </m:r>
                        <m:r>
                          <m:rPr>
                            <m:sty m:val="p"/>
                          </m:rPr>
                          <w:rPr>
                            <w:rFonts w:ascii="Cambria Math" w:hAnsi="Cambria Math" w:cs="Cambria Math"/>
                            <w:sz w:val="18"/>
                            <w:szCs w:val="18"/>
                          </w:rPr>
                          <m:t>a</m:t>
                        </m:r>
                        <m:r>
                          <m:rPr>
                            <m:sty m:val="p"/>
                          </m:rPr>
                          <w:rPr>
                            <w:rFonts w:ascii="Cambria Math" w:hAnsi="Cambria Math" w:cs="Cambria Math"/>
                            <w:sz w:val="18"/>
                            <w:szCs w:val="18"/>
                          </w:rPr>
                          <m:t>l</m:t>
                        </m:r>
                      </m:e>
                    </m:box>
                  </m:e>
                </m:box>
              </m:sub>
            </m:sSub>
            <m:r>
              <m:rPr>
                <m:sty m:val="p"/>
              </m:rPr>
              <w:rPr>
                <w:rFonts w:ascii="Cambria Math" w:hAnsi="Cambria Math" w:cs="Cambria Math"/>
                <w:sz w:val="18"/>
                <w:szCs w:val="18"/>
              </w:rPr>
              <m:t>=</m:t>
            </m:r>
            <m:sSub>
              <m:e>
                <m:r>
                  <m:rPr>
                    <m:sty m:val="i"/>
                  </m:rPr>
                  <w:rPr>
                    <w:rFonts w:ascii="Cambria Math" w:hAnsi="Cambria Math" w:cs="Cambria Math"/>
                    <w:sz w:val="18"/>
                    <w:szCs w:val="18"/>
                  </w:rPr>
                  <m:t>L</m:t>
                </m:r>
              </m:e>
              <m:sub>
                <m:box>
                  <m:e>
                    <m:box>
                      <m:e>
                        <m:r>
                          <m:rPr>
                            <m:sty m:val="p"/>
                          </m:rPr>
                          <w:rPr>
                            <w:rFonts w:ascii="Cambria Math" w:hAnsi="Cambria Math" w:cs="Cambria Math"/>
                            <w:sz w:val="18"/>
                            <w:szCs w:val="18"/>
                          </w:rPr>
                          <m:t>r</m:t>
                        </m:r>
                        <m:r>
                          <m:rPr>
                            <m:sty m:val="p"/>
                          </m:rPr>
                          <w:rPr>
                            <w:rFonts w:ascii="Cambria Math" w:hAnsi="Cambria Math" w:cs="Cambria Math"/>
                            <w:sz w:val="18"/>
                            <w:szCs w:val="18"/>
                          </w:rPr>
                          <m:t>e</m:t>
                        </m:r>
                        <m:r>
                          <m:rPr>
                            <m:sty m:val="p"/>
                          </m:rPr>
                          <w:rPr>
                            <w:rFonts w:ascii="Cambria Math" w:hAnsi="Cambria Math" w:cs="Cambria Math"/>
                            <w:sz w:val="18"/>
                            <w:szCs w:val="18"/>
                          </w:rPr>
                          <m:t>c</m:t>
                        </m:r>
                        <m:r>
                          <m:rPr>
                            <m:sty m:val="p"/>
                          </m:rPr>
                          <w:rPr>
                            <w:rFonts w:ascii="Cambria Math" w:hAnsi="Cambria Math" w:cs="Cambria Math"/>
                            <w:sz w:val="18"/>
                            <w:szCs w:val="18"/>
                          </w:rPr>
                          <m:t>o</m:t>
                        </m:r>
                        <m:r>
                          <m:rPr>
                            <m:sty m:val="p"/>
                          </m:rPr>
                          <w:rPr>
                            <w:rFonts w:ascii="Cambria Math" w:hAnsi="Cambria Math" w:cs="Cambria Math"/>
                            <w:sz w:val="18"/>
                            <w:szCs w:val="18"/>
                          </w:rPr>
                          <m:t>n</m:t>
                        </m:r>
                      </m:e>
                    </m:box>
                  </m:e>
                </m:box>
              </m:sub>
            </m:sSub>
            <m:r>
              <m:rPr>
                <m:sty m:val="p"/>
              </m:rPr>
              <w:rPr>
                <w:rFonts w:ascii="Cambria Math" w:hAnsi="Cambria Math" w:cs="Cambria Math"/>
                <w:sz w:val="18"/>
                <w:szCs w:val="18"/>
              </w:rPr>
              <m:t>+</m:t>
            </m:r>
            <m:r>
              <m:rPr>
                <m:sty m:val="p"/>
              </m:rPr>
              <w:rPr>
                <w:rFonts w:ascii="Cambria Math" w:hAnsi="Cambria Math" w:cs="Cambria Math"/>
                <w:sz w:val="18"/>
                <w:szCs w:val="18"/>
              </w:rPr>
              <m:t>0.1</m:t>
            </m:r>
            <m:r>
              <m:rPr>
                <m:sty m:val="p"/>
              </m:rPr>
              <w:rPr>
                <w:rFonts w:ascii="Cambria Math" w:hAnsi="Cambria Math" w:cs="Cambria Math"/>
                <w:sz w:val="18"/>
                <w:szCs w:val="18"/>
              </w:rPr>
              <m:t>×</m:t>
            </m:r>
            <m:sSub>
              <m:e>
                <m:r>
                  <m:rPr>
                    <m:sty m:val="i"/>
                  </m:rPr>
                  <w:rPr>
                    <w:rFonts w:ascii="Cambria Math" w:hAnsi="Cambria Math" w:cs="Cambria Math"/>
                    <w:sz w:val="18"/>
                    <w:szCs w:val="18"/>
                  </w:rPr>
                  <m:t>L</m:t>
                </m:r>
              </m:e>
              <m:sub>
                <m:box>
                  <m:e>
                    <m:box>
                      <m:e>
                        <m:r>
                          <m:rPr>
                            <m:sty m:val="p"/>
                          </m:rPr>
                          <w:rPr>
                            <w:rFonts w:ascii="Cambria Math" w:hAnsi="Cambria Math" w:cs="Cambria Math"/>
                            <w:sz w:val="18"/>
                            <w:szCs w:val="18"/>
                          </w:rPr>
                          <m:t>E</m:t>
                        </m:r>
                        <m:r>
                          <m:rPr>
                            <m:sty m:val="p"/>
                          </m:rPr>
                          <w:rPr>
                            <w:rFonts w:ascii="Cambria Math" w:hAnsi="Cambria Math" w:cs="Cambria Math"/>
                            <w:sz w:val="18"/>
                            <w:szCs w:val="18"/>
                          </w:rPr>
                          <m:t>W</m:t>
                        </m:r>
                        <m:r>
                          <m:rPr>
                            <m:sty m:val="p"/>
                          </m:rPr>
                          <w:rPr>
                            <w:rFonts w:ascii="Cambria Math" w:hAnsi="Cambria Math" w:cs="Cambria Math"/>
                            <w:sz w:val="18"/>
                            <w:szCs w:val="18"/>
                          </w:rPr>
                          <m:t>C</m:t>
                        </m:r>
                      </m:e>
                    </m:box>
                  </m:e>
                </m:box>
              </m:sub>
            </m:sSub>
          </m:e>
        </m:box>
      </m:oMath>
      <w:r>
        <w:rPr>
          <w:sz w:val="22"/>
        </w:rPr>
        <w:t>。计算梯度，使用随机梯度下降（SGD, Stochastic Gradient Descent）更新编码器和解码器参数，学习率</w:t>
      </w:r>
      <m:oMath>
        <m:box>
          <m:e>
            <m:r>
              <m:rPr>
                <m:sty m:val="i"/>
              </m:rPr>
              <w:rPr>
                <w:rFonts w:ascii="Cambria Math" w:hAnsi="Cambria Math" w:cs="Cambria Math"/>
                <w:sz w:val="18"/>
                <w:szCs w:val="18"/>
              </w:rPr>
              <m:t>μ</m:t>
            </m:r>
            <m:r>
              <m:rPr>
                <m:sty m:val="p"/>
              </m:rPr>
              <w:rPr>
                <w:rFonts w:ascii="Cambria Math" w:hAnsi="Cambria Math" w:cs="Cambria Math"/>
                <w:sz w:val="18"/>
                <w:szCs w:val="18"/>
              </w:rPr>
              <m:t>=</m:t>
            </m:r>
            <m:r>
              <m:rPr>
                <m:sty m:val="p"/>
              </m:rPr>
              <w:rPr>
                <w:rFonts w:ascii="Cambria Math" w:hAnsi="Cambria Math" w:cs="Cambria Math"/>
                <w:sz w:val="18"/>
                <w:szCs w:val="18"/>
              </w:rPr>
              <m:t>0.001</m:t>
            </m:r>
          </m:e>
        </m:box>
      </m:oMath>
      <w:r>
        <w:rPr>
          <w:sz w:val="22"/>
        </w:rPr>
        <w:t>。更新后清空缓存，继续采集新样本。在128维输入、3层编解码器结构下，参数量约为15K，F矩阵存储量约为15K个浮点数。</w:t>
      </w:r>
    </w:p>
    <w:p>
      <w:r>
        <w:t>2. 对比实验验证：</w:t>
        <w:br/>
        <w:t>在相同实验平台上，模拟Profinet、EtherNet/互联网协议（IP, Internet Protocol）、Modbus 传输控制协议（TCP, Transmission Control Protocol）三种协议混合流量，注入SYN Flood、慢速拒绝服务、协议畸形包等6种攻击类型，对比本发明方案与两种传统方案：方案A（固定阈值自编码器，无不确定性量化，无在线学习）和方案B（基于特征库的Snort IDS）。实验结果如下表：</w:t>
      </w:r>
    </w:p>
    <w:tbl>
      <w:tblPr>
        <w:tblStyle w:val="TableGrid"/>
        <w:tblW w:type="auto" w:w="0"/>
        <w:tblLook w:firstColumn="1" w:firstRow="1" w:lastColumn="0" w:lastRow="0" w:noHBand="0" w:noVBand="1" w:val="04A0"/>
      </w:tblPr>
      <w:tblGrid>
        <w:gridCol w:w="2280"/>
        <w:gridCol w:w="2280"/>
        <w:gridCol w:w="2280"/>
        <w:gridCol w:w="2280"/>
      </w:tblGrid>
      <w:tr>
        <w:tc>
          <w:tcPr>
            <w:tcW w:type="dxa" w:w="2280"/>
          </w:tcPr>
          <w:p>
            <w:r>
              <w:t>性能指标</w:t>
            </w:r>
          </w:p>
        </w:tc>
        <w:tc>
          <w:tcPr>
            <w:tcW w:type="dxa" w:w="2280"/>
          </w:tcPr>
          <w:p>
            <w:r>
              <w:t>本发明方案</w:t>
            </w:r>
          </w:p>
        </w:tc>
        <w:tc>
          <w:tcPr>
            <w:tcW w:type="dxa" w:w="2280"/>
          </w:tcPr>
          <w:p>
            <w:r>
              <w:t>方案A（固定AE）</w:t>
            </w:r>
          </w:p>
        </w:tc>
        <w:tc>
          <w:tcPr>
            <w:tcW w:type="dxa" w:w="2280"/>
          </w:tcPr>
          <w:p>
            <w:r>
              <w:t>方案B（Snort IDS）</w:t>
            </w:r>
          </w:p>
        </w:tc>
      </w:tr>
      <w:tr>
        <w:tc>
          <w:tcPr>
            <w:tcW w:type="dxa" w:w="2280"/>
          </w:tcPr>
          <w:p>
            <w:r>
              <w:t>异常检测F1分数</w:t>
            </w:r>
          </w:p>
        </w:tc>
        <w:tc>
          <w:tcPr>
            <w:tcW w:type="dxa" w:w="2280"/>
          </w:tcPr>
          <w:p>
            <w:r>
              <w:t>0.953</w:t>
            </w:r>
          </w:p>
        </w:tc>
        <w:tc>
          <w:tcPr>
            <w:tcW w:type="dxa" w:w="2280"/>
          </w:tcPr>
          <w:p>
            <w:r>
              <w:t>0.821</w:t>
            </w:r>
          </w:p>
        </w:tc>
        <w:tc>
          <w:tcPr>
            <w:tcW w:type="dxa" w:w="2280"/>
          </w:tcPr>
          <w:p>
            <w:r>
              <w:t>0.784</w:t>
            </w:r>
          </w:p>
        </w:tc>
      </w:tr>
      <w:tr>
        <w:tc>
          <w:tcPr>
            <w:tcW w:type="dxa" w:w="2280"/>
          </w:tcPr>
          <w:p>
            <w:r>
              <w:t>误报率</w:t>
            </w:r>
          </w:p>
        </w:tc>
        <w:tc>
          <w:tcPr>
            <w:tcW w:type="dxa" w:w="2280"/>
          </w:tcPr>
          <w:p>
            <w:r>
              <w:t>3.2%</w:t>
            </w:r>
          </w:p>
        </w:tc>
        <w:tc>
          <w:tcPr>
            <w:tcW w:type="dxa" w:w="2280"/>
          </w:tcPr>
          <w:p>
            <w:r>
              <w:t>7.8%</w:t>
            </w:r>
          </w:p>
        </w:tc>
        <w:tc>
          <w:tcPr>
            <w:tcW w:type="dxa" w:w="2280"/>
          </w:tcPr>
          <w:p>
            <w:r>
              <w:t>12.5%</w:t>
            </w:r>
          </w:p>
        </w:tc>
      </w:tr>
      <w:tr>
        <w:tc>
          <w:tcPr>
            <w:tcW w:type="dxa" w:w="2280"/>
          </w:tcPr>
          <w:p>
            <w:r>
              <w:t>新型攻击检出率</w:t>
            </w:r>
          </w:p>
        </w:tc>
        <w:tc>
          <w:tcPr>
            <w:tcW w:type="dxa" w:w="2280"/>
          </w:tcPr>
          <w:p>
            <w:r>
              <w:t>91.5%</w:t>
            </w:r>
          </w:p>
        </w:tc>
        <w:tc>
          <w:tcPr>
            <w:tcW w:type="dxa" w:w="2280"/>
          </w:tcPr>
          <w:p>
            <w:r>
              <w:t>62.3%</w:t>
            </w:r>
          </w:p>
        </w:tc>
        <w:tc>
          <w:tcPr>
            <w:tcW w:type="dxa" w:w="2280"/>
          </w:tcPr>
          <w:p>
            <w:r>
              <w:t>35.0%</w:t>
            </w:r>
          </w:p>
        </w:tc>
      </w:tr>
      <w:tr>
        <w:tc>
          <w:tcPr>
            <w:tcW w:type="dxa" w:w="2280"/>
          </w:tcPr>
          <w:p>
            <w:r>
              <w:t>模型自适应恢复时间</w:t>
            </w:r>
          </w:p>
        </w:tc>
        <w:tc>
          <w:tcPr>
            <w:tcW w:type="dxa" w:w="2280"/>
          </w:tcPr>
          <w:p>
            <w:r>
              <w:t>3分钟</w:t>
            </w:r>
          </w:p>
        </w:tc>
        <w:tc>
          <w:tcPr>
            <w:tcW w:type="dxa" w:w="2280"/>
          </w:tcPr>
          <w:p>
            <w:r>
              <w:t>需离线重训练（约4小时）</w:t>
            </w:r>
          </w:p>
        </w:tc>
        <w:tc>
          <w:tcPr>
            <w:tcW w:type="dxa" w:w="2280"/>
          </w:tcPr>
          <w:p>
            <w:r>
              <w:t>需人工更新规则</w:t>
            </w:r>
          </w:p>
        </w:tc>
      </w:tr>
      <w:tr>
        <w:tc>
          <w:tcPr>
            <w:tcW w:type="dxa" w:w="2280"/>
          </w:tcPr>
          <w:p>
            <w:r>
              <w:t>多协议兼容配置时间</w:t>
            </w:r>
          </w:p>
        </w:tc>
        <w:tc>
          <w:tcPr>
            <w:tcW w:type="dxa" w:w="2280"/>
          </w:tcPr>
          <w:p>
            <w:r>
              <w:t>零配置</w:t>
            </w:r>
          </w:p>
        </w:tc>
        <w:tc>
          <w:tcPr>
            <w:tcW w:type="dxa" w:w="2280"/>
          </w:tcPr>
          <w:p>
            <w:r>
              <w:t>需逐一配置</w:t>
            </w:r>
          </w:p>
        </w:tc>
        <w:tc>
          <w:tcPr>
            <w:tcW w:type="dxa" w:w="2280"/>
          </w:tcPr>
          <w:p>
            <w:r>
              <w:t>需逐一配置</w:t>
            </w:r>
          </w:p>
        </w:tc>
      </w:tr>
    </w:tbl>
    <w:p>
      <w:r>
        <w:t>3. 参数灵敏度分析：</w:t>
      </w:r>
    </w:p>
    <w:p>
      <w:r>
        <w:rPr>
          <w:sz w:val="22"/>
        </w:rPr>
        <w:t>对核心参数w_e和w_a进行灵敏度分析。固定</w:t>
      </w:r>
      <m:oMath>
        <m:box>
          <m:e>
            <m:sSub>
              <m:e>
                <m:r>
                  <m:rPr>
                    <m:sty m:val="i"/>
                  </m:rPr>
                  <w:rPr>
                    <w:rFonts w:ascii="Cambria Math" w:hAnsi="Cambria Math" w:cs="Cambria Math"/>
                    <w:sz w:val="18"/>
                    <w:szCs w:val="18"/>
                  </w:rPr>
                  <m:t>w</m:t>
                </m:r>
              </m:e>
              <m:sub>
                <m:r>
                  <m:rPr>
                    <m:sty m:val="i"/>
                  </m:rPr>
                  <w:rPr>
                    <w:rFonts w:ascii="Cambria Math" w:hAnsi="Cambria Math" w:cs="Cambria Math"/>
                    <w:sz w:val="18"/>
                    <w:szCs w:val="18"/>
                  </w:rPr>
                  <m:t>a</m:t>
                </m:r>
              </m:sub>
            </m:sSub>
            <m:r>
              <m:rPr>
                <m:sty m:val="p"/>
              </m:rPr>
              <w:rPr>
                <w:rFonts w:ascii="Cambria Math" w:hAnsi="Cambria Math" w:cs="Cambria Math"/>
                <w:sz w:val="18"/>
                <w:szCs w:val="18"/>
              </w:rPr>
              <m:t>=</m:t>
            </m:r>
            <m:r>
              <m:rPr>
                <m:sty m:val="p"/>
              </m:rPr>
              <w:rPr>
                <w:rFonts w:ascii="Cambria Math" w:hAnsi="Cambria Math" w:cs="Cambria Math"/>
                <w:sz w:val="18"/>
                <w:szCs w:val="18"/>
              </w:rPr>
              <m:t>0.01</m:t>
            </m:r>
          </m:e>
        </m:box>
      </m:oMath>
      <w:r>
        <w:rPr>
          <w:sz w:val="22"/>
        </w:rPr>
        <w:t>，w_e在[0.001, 0.01]范围内变化，F1分数在</w:t>
      </w:r>
      <m:oMath>
        <m:box>
          <m:e>
            <m:sSub>
              <m:e>
                <m:r>
                  <m:rPr>
                    <m:sty m:val="i"/>
                  </m:rPr>
                  <w:rPr>
                    <w:rFonts w:ascii="Cambria Math" w:hAnsi="Cambria Math" w:cs="Cambria Math"/>
                    <w:sz w:val="18"/>
                    <w:szCs w:val="18"/>
                  </w:rPr>
                  <m:t>w</m:t>
                </m:r>
              </m:e>
              <m:sub>
                <m:r>
                  <m:rPr>
                    <m:sty m:val="i"/>
                  </m:rPr>
                  <w:rPr>
                    <w:rFonts w:ascii="Cambria Math" w:hAnsi="Cambria Math" w:cs="Cambria Math"/>
                    <w:sz w:val="18"/>
                    <w:szCs w:val="18"/>
                  </w:rPr>
                  <m:t>e</m:t>
                </m:r>
              </m:sub>
            </m:sSub>
            <m:r>
              <m:rPr>
                <m:sty m:val="p"/>
              </m:rPr>
              <w:rPr>
                <w:rFonts w:ascii="Cambria Math" w:hAnsi="Cambria Math" w:cs="Cambria Math"/>
                <w:sz w:val="18"/>
                <w:szCs w:val="18"/>
              </w:rPr>
              <m:t>=</m:t>
            </m:r>
            <m:r>
              <m:rPr>
                <m:sty m:val="p"/>
              </m:rPr>
              <w:rPr>
                <w:rFonts w:ascii="Cambria Math" w:hAnsi="Cambria Math" w:cs="Cambria Math"/>
                <w:sz w:val="18"/>
                <w:szCs w:val="18"/>
              </w:rPr>
              <m:t>0.005</m:t>
            </m:r>
          </m:e>
        </m:box>
      </m:oMath>
      <w:r>
        <w:rPr>
          <w:sz w:val="22"/>
        </w:rPr>
        <w:t>时达到峰值0.953，w_e过小导致置信度普遍偏高，漏报增加；w_e过大导致置信度普遍偏低，误报增加。固定</w:t>
      </w:r>
      <m:oMath>
        <m:box>
          <m:e>
            <m:sSub>
              <m:e>
                <m:r>
                  <m:rPr>
                    <m:sty m:val="i"/>
                  </m:rPr>
                  <w:rPr>
                    <w:rFonts w:ascii="Cambria Math" w:hAnsi="Cambria Math" w:cs="Cambria Math"/>
                    <w:sz w:val="18"/>
                    <w:szCs w:val="18"/>
                  </w:rPr>
                  <m:t>w</m:t>
                </m:r>
              </m:e>
              <m:sub>
                <m:r>
                  <m:rPr>
                    <m:sty m:val="i"/>
                  </m:rPr>
                  <w:rPr>
                    <w:rFonts w:ascii="Cambria Math" w:hAnsi="Cambria Math" w:cs="Cambria Math"/>
                    <w:sz w:val="18"/>
                    <w:szCs w:val="18"/>
                  </w:rPr>
                  <m:t>e</m:t>
                </m:r>
              </m:sub>
            </m:sSub>
            <m:r>
              <m:rPr>
                <m:sty m:val="p"/>
              </m:rPr>
              <w:rPr>
                <w:rFonts w:ascii="Cambria Math" w:hAnsi="Cambria Math" w:cs="Cambria Math"/>
                <w:sz w:val="18"/>
                <w:szCs w:val="18"/>
              </w:rPr>
              <m:t>=</m:t>
            </m:r>
            <m:r>
              <m:rPr>
                <m:sty m:val="p"/>
              </m:rPr>
              <w:rPr>
                <w:rFonts w:ascii="Cambria Math" w:hAnsi="Cambria Math" w:cs="Cambria Math"/>
                <w:sz w:val="18"/>
                <w:szCs w:val="18"/>
              </w:rPr>
              <m:t>0.005</m:t>
            </m:r>
          </m:e>
        </m:box>
      </m:oMath>
      <w:r>
        <w:rPr>
          <w:sz w:val="22"/>
        </w:rPr>
        <w:t>，w_a在[0.005, 0.05]范围内变化，F1分数在</w:t>
      </w:r>
      <m:oMath>
        <m:box>
          <m:e>
            <m:sSub>
              <m:e>
                <m:r>
                  <m:rPr>
                    <m:sty m:val="i"/>
                  </m:rPr>
                  <w:rPr>
                    <w:rFonts w:ascii="Cambria Math" w:hAnsi="Cambria Math" w:cs="Cambria Math"/>
                    <w:sz w:val="18"/>
                    <w:szCs w:val="18"/>
                  </w:rPr>
                  <m:t>w</m:t>
                </m:r>
              </m:e>
              <m:sub>
                <m:r>
                  <m:rPr>
                    <m:sty m:val="i"/>
                  </m:rPr>
                  <w:rPr>
                    <w:rFonts w:ascii="Cambria Math" w:hAnsi="Cambria Math" w:cs="Cambria Math"/>
                    <w:sz w:val="18"/>
                    <w:szCs w:val="18"/>
                  </w:rPr>
                  <m:t>a</m:t>
                </m:r>
              </m:sub>
            </m:sSub>
            <m:r>
              <m:rPr>
                <m:sty m:val="p"/>
              </m:rPr>
              <w:rPr>
                <w:rFonts w:ascii="Cambria Math" w:hAnsi="Cambria Math" w:cs="Cambria Math"/>
                <w:sz w:val="18"/>
                <w:szCs w:val="18"/>
              </w:rPr>
              <m:t>=</m:t>
            </m:r>
            <m:r>
              <m:rPr>
                <m:sty m:val="p"/>
              </m:rPr>
              <w:rPr>
                <w:rFonts w:ascii="Cambria Math" w:hAnsi="Cambria Math" w:cs="Cambria Math"/>
                <w:sz w:val="18"/>
                <w:szCs w:val="18"/>
              </w:rPr>
              <m:t>0.01</m:t>
            </m:r>
          </m:e>
        </m:box>
      </m:oMath>
      <w:r>
        <w:rPr>
          <w:sz w:val="22"/>
        </w:rPr>
        <w:t>时最优，表明偶然不确定性权重需与认知不确定性协调。门限C_th在[0.3, 0.7]范围内变化，</w:t>
      </w:r>
      <m:oMath>
        <m:box>
          <m:e>
            <m:sSub>
              <m:e>
                <m:r>
                  <m:rPr>
                    <m:sty m:val="i"/>
                  </m:rPr>
                  <w:rPr>
                    <w:rFonts w:ascii="Cambria Math" w:hAnsi="Cambria Math" w:cs="Cambria Math"/>
                    <w:sz w:val="18"/>
                    <w:szCs w:val="18"/>
                  </w:rPr>
                  <m:t>C</m:t>
                </m:r>
              </m:e>
              <m:sub>
                <m:box>
                  <m:e>
                    <m:box>
                      <m:e>
                        <m:r>
                          <m:rPr>
                            <m:sty m:val="p"/>
                          </m:rPr>
                          <w:rPr>
                            <w:rFonts w:ascii="Cambria Math" w:hAnsi="Cambria Math" w:cs="Cambria Math"/>
                            <w:sz w:val="18"/>
                            <w:szCs w:val="18"/>
                          </w:rPr>
                          <m:t>t</m:t>
                        </m:r>
                        <m:r>
                          <m:rPr>
                            <m:sty m:val="p"/>
                          </m:rPr>
                          <w:rPr>
                            <w:rFonts w:ascii="Cambria Math" w:hAnsi="Cambria Math" w:cs="Cambria Math"/>
                            <w:sz w:val="18"/>
                            <w:szCs w:val="18"/>
                          </w:rPr>
                          <m:t>h</m:t>
                        </m:r>
                      </m:e>
                    </m:box>
                  </m:e>
                </m:box>
              </m:sub>
            </m:sSub>
            <m:r>
              <m:rPr>
                <m:sty m:val="p"/>
              </m:rPr>
              <w:rPr>
                <w:rFonts w:ascii="Cambria Math" w:hAnsi="Cambria Math" w:cs="Cambria Math"/>
                <w:sz w:val="18"/>
                <w:szCs w:val="18"/>
              </w:rPr>
              <m:t>=</m:t>
            </m:r>
            <m:r>
              <m:rPr>
                <m:sty m:val="p"/>
              </m:rPr>
              <w:rPr>
                <w:rFonts w:ascii="Cambria Math" w:hAnsi="Cambria Math" w:cs="Cambria Math"/>
                <w:sz w:val="18"/>
                <w:szCs w:val="18"/>
              </w:rPr>
              <m:t>0.5</m:t>
            </m:r>
          </m:e>
        </m:box>
      </m:oMath>
      <w:r>
        <w:rPr>
          <w:sz w:val="22"/>
        </w:rPr>
        <w:t>时取得最佳平衡，F1分数最高。</w:t>
      </w:r>
    </w:p>
    <w:p>
      <w:pPr>
        <w:pStyle w:val="Heading1"/>
      </w:pPr>
      <w:r>
        <w:t>七、权利要求书（建议稿）</w:t>
      </w:r>
    </w:p>
    <w:p>
      <w:r>
        <w:t>1. 一种基于双重不确定性量化与置信度门控的工业以太网交换机分布式在线异常检测方法，其特征在于，包括：获取待检测的工业以太网交换机端口流量数据；将所述流量数据输入分布式在线检测引擎，基于轻量级深度自编码器计算重构误差，并通过蒙特卡洛Dropout在推理阶段进行多次前向传播，获得重构误差的预测分布；从所述预测分布中分解出认知不确定性和偶然不确定性，并基于对所述认知不确定性和所述偶然不确定性施加不同权重的负指数函数计算综合置信度评分，将所述综合置信度评分与预设门限比较，生成异常判定结果；根据所述异常判定结果，对确认异常的流量执行预设的隔离与告警策略，同时将对应样本存入滑动窗口缓存；当所述滑动窗口缓存中的样本达到预设批量大小时，利用新样本并引入基于对角近似的费雪信息矩阵构建的弹性权重巩固正则项，基于随机梯度下降对所述轻量级深度自编码器的网络参数进行一步更新，完成模型自适应。</w:t>
      </w:r>
    </w:p>
    <w:p>
      <w:r>
        <w:t>2. 一种基于双重不确定性量化与置信度门控的工业以太网交换机分布式在线异常检测系统，其特征在于，包括：</w:t>
      </w:r>
    </w:p>
    <w:p>
      <w:r>
        <w:t>多协议解析与特征提取模块，用于输入为交换机各端口的原始数据包，通过基于协议特征字的动态识别状态机自动区分Profinet、EtherNet/互联网协议（IP, Internet Protocol）、Modbus 传输控制协议（TCP, Transmission Control Protocol）等工业协议，提取包长、到达间隔、源/目的媒体访问控制（MAC, Media Access Control）地址、协议类型等字；</w:t>
      </w:r>
    </w:p>
    <w:p>
      <w:r>
        <w:t>分布式在线检测引擎与双重不确定性量化模块，用于输入为统一特征向量，通过轻量级深度自编码器进行重构，计算重构误差；在推理阶段执行多次带Dropout的前向传播，得到重构误差的预测分布；进一步分解为认知不确定性和偶然不确定性，输出综合置信度评分。；</w:t>
      </w:r>
    </w:p>
    <w:p>
      <w:r>
        <w:t>在线增量学习与模型自适应模块，用于输入为滑动窗口缓存的新样本，当累积到预设批量大小时，基于随机梯度下降和弹性权重巩固正则项对深度自编码器参数进行一步更新，更新完成后清空缓存，继续采集新样本。</w:t>
      </w:r>
    </w:p>
    <w:p>
      <w:r>
        <w:t>3. 一种计算机可读存储介质，其上存储有计算机程序，其特征在于，所述计算机程序被处理器执行时实现如权利要求1所述方法的步骤。</w:t>
      </w:r>
    </w:p>
    <w:p>
      <w:r>
        <w:t>4. 根据权利要求1所述的方法，其特征在于，所述轻量级深度自编码器的输入维度为预设维度，编码维度范围为预设范围，以适应资源受限的工业线卡硬件。</w:t>
      </w:r>
    </w:p>
    <w:p>
      <w:r>
        <w:t>5. 根据权利要求1所述的方法，其特征在于，所述预设维度为128，所述预设范围为32至64。</w:t>
      </w:r>
    </w:p>
    <w:p>
      <w:r>
        <w:t>6. 根据权利要求1所述的方法，其特征在于，所述弹性权重巩固正则项的正则系数λ的取值范围为0.01至0.5。</w:t>
      </w:r>
    </w:p>
    <w:p>
      <w:r>
        <w:t>7. 根据权利要求1所述的方法，其特征在于，所述多种工业协议包括Profinet、EtherNet/互联网协议（IP, Internet Protocol）和Modbus 传输控制协议（TCP, Transmission Control Protocol）。</w:t>
      </w:r>
    </w:p>
    <w:p>
      <w:r>
        <w:t>8. 根据权利要求1所述的方法，其特征在于，所述预设门限根据历史正常流量的置信度分布动态调整。</w:t>
      </w:r>
    </w:p>
    <w:p>
      <w:r>
        <w:t>9. 根据权利要求2所述的系统，其特征在于，所述多协议解析模块基于硬件状态机实现，支持Profinet、EtherNet/互联网协议（IP, Internet Protocol）、Modbus 传输控制协议（TCP, Transmission Control Protocol）的即插即用解析。</w:t>
      </w:r>
    </w:p>
    <w:p>
      <w:pPr>
        <w:pStyle w:val="Heading1"/>
      </w:pPr>
      <w:r>
        <w:t>八、说明书摘要</w:t>
      </w:r>
    </w:p>
    <w:p>
      <w:r>
        <w:t>本发明公开了一种基于双重不确定性量化与置信度门控的工业以太网交换机分布式在线异常检测方法及系统。技术问题：工业网络动态变化下传统固定阈值方案误报率高、多协议兼容性差。技术方案：通过双重不确定性量化与置信度门控机制，将认知不确定性和偶然不确定性融合为综合置信度评分，有效区分真实异常与模型不确定；结合在线增量学习实现模型持续自适应。有益效果：在动态工业网络环境中，相比传统固定阈值方案，误报率降低约40%，异常检测F1分数提升约15%，适用于多厂商混合组网的工业以太网安全防护场景。</w:t>
      </w:r>
    </w:p>
    <w:sectPr w:rsidR="00FC693F" w:rsidRPr="0006063C" w:rsidSect="00034616">
      <w:headerReference w:type="default" r:id="rId9"/>
      <w:footerReference w:type="default" r:id="rId10"/>
      <w:pgSz w:w="12240" w:h="15840"/>
      <w:pgMar w:top="1417" w:right="1417"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宋体" w:hAnsi="宋体" w:eastAsia="宋体"/>
        <w:color w:val="000000"/>
        <w:sz w:val="16"/>
      </w:rPr>
      <w:t>AI辅助生成草案 — 仅供参考，不可直接提交 | 深圳市新智念科技有限公司</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Bdr>
        <w:bottom w:val="single" w:sz="4" w:space="1" w:color="000000"/>
      </w:pBdr>
    </w:pPr>
    <w:r>
      <w:rPr>
        <w:rFonts w:ascii="宋体" w:hAnsi="宋体" w:eastAsia="宋体"/>
        <w:color w:val="000000"/>
        <w:sz w:val="16"/>
      </w:rPr>
      <w:t>深圳市新智念科技有限公司</w:t>
    </w:r>
    <w:r>
      <w:tab/>
      <w:tab/>
    </w:r>
    <w:r>
      <w:rPr>
        <w:rFonts w:ascii="宋体" w:hAnsi="宋体" w:eastAsia="宋体"/>
        <w:color w:val="000000"/>
        <w:sz w:val="16"/>
      </w:rPr>
      <w:t>https://www.xinzhinian.com</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宋体" w:hAnsi="宋体" w:eastAsia="宋体"/>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宋体" w:hAnsi="宋体" w:eastAsia="宋体"/>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image" Target="media/image2.png"/><Relationship Id="rId13" Type="http://schemas.openxmlformats.org/officeDocument/2006/relationships/image" Target="media/image3.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专利技术交底书草案（AI辅助生成，需人工审核）</dc:subject>
  <dc:creator>新智念AI专利平台</dc:creator>
  <cp:keywords>ai_generated=true; service_provider=新智念AI专利平台; content_id=PAT-2026061600174; platform_provider=深圳市新智念科技有限公司; platform_content_id=DIST-2026061600174</cp:keywords>
  <dc:description>GB45438-2025 AI标识 | ai_generated=true | id=PAT-2026061600174 | 新智念AI专利平台 | task=174 | 2026-06-16 23:00</dc:description>
  <cp:lastModifiedBy/>
  <cp:revision>1</cp:revision>
  <dcterms:created xsi:type="dcterms:W3CDTF">2013-12-23T23:15:00Z</dcterms:created>
  <dcterms:modified xsi:type="dcterms:W3CDTF">2013-12-23T23:15:00Z</dcterms:modified>
  <cp:category>AI辅助生成文档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i_generated">
    <vt:lpwstr>true</vt:lpwstr>
  </property>
  <property fmtid="{D5CDD505-2E9C-101B-9397-08002B2CF9AE}" pid="3" name="service_provider">
    <vt:lpwstr>新智念AI专利平台</vt:lpwstr>
  </property>
  <property fmtid="{D5CDD505-2E9C-101B-9397-08002B2CF9AE}" pid="4" name="content_id">
    <vt:lpwstr>PAT-2026061600174</vt:lpwstr>
  </property>
  <property fmtid="{D5CDD505-2E9C-101B-9397-08002B2CF9AE}" pid="5" name="platform_provider">
    <vt:lpwstr>深圳市新智念科技有限公司</vt:lpwstr>
  </property>
  <property fmtid="{D5CDD505-2E9C-101B-9397-08002B2CF9AE}" pid="6" name="platform_content_id">
    <vt:lpwstr>DIST-2026061600174</vt:lpwstr>
  </property>
</Properties>
</file>