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958D9"/>
          <w:sz w:val="36"/>
        </w:rPr>
        <w:t>真实先例对照表</w:t>
      </w:r>
    </w:p>
    <w:p>
      <w:pPr>
        <w:jc w:val="center"/>
      </w:pPr>
      <w:r>
        <w:rPr>
          <w:b/>
          <w:color w:val="CC0000"/>
          <w:sz w:val="22"/>
        </w:rPr>
        <w:t>【警告】本文件仅供代理机构 / 内部参考，绝不可作为正式专利引用文献使用</w:t>
      </w:r>
    </w:p>
    <w:p>
      <w:pPr>
        <w:jc w:val="center"/>
      </w:pPr>
      <w:r>
        <w:rPr>
          <w:color w:val="085321"/>
          <w:sz w:val="20"/>
        </w:rPr>
        <w:t>用途：辅助查重、引用文献准备、背景技术撰写、权利要求差异化布局</w:t>
      </w:r>
    </w:p>
    <w:p/>
    <w:p>
      <w:r>
        <w:rPr>
          <w:b/>
          <w:color w:val="0958D9"/>
          <w:sz w:val="28"/>
        </w:rPr>
        <w:t>本发明差异化定位</w:t>
      </w:r>
    </w:p>
    <w:p>
      <w:r>
        <w:rPr>
          <w:sz w:val="21"/>
        </w:rPr>
        <w:t>经全球专利检索，本领域命中 8 篇真实先例（详见下表）。</w:t>
      </w:r>
    </w:p>
    <w:p>
      <w:r>
        <w:rPr>
          <w:sz w:val="21"/>
        </w:rPr>
        <w:t>代理人可据此对照表中各先例，逐项核对本发明权利要求的新颖性与创造性区分点。</w:t>
      </w:r>
    </w:p>
    <w:p/>
    <w:p>
      <w:r>
        <w:rPr>
          <w:b/>
          <w:color w:val="0958D9"/>
          <w:sz w:val="28"/>
        </w:rPr>
        <w:t>一、行业格局相关先例（共 8 条）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1234"/>
        <w:gridCol w:w="1234"/>
        <w:gridCol w:w="1234"/>
        <w:gridCol w:w="1234"/>
        <w:gridCol w:w="1234"/>
        <w:gridCol w:w="1234"/>
        <w:gridCol w:w="1234"/>
      </w:tblGrid>
      <w:tr>
        <w:tc>
          <w:tcPr>
            <w:tcW w:type="dxa" w:w="1234"/>
          </w:tcPr>
          <w:p>
            <w:r>
              <w:rPr>
                <w:b/>
                <w:sz w:val="20"/>
              </w:rPr>
              <w:t>序号</w:t>
            </w:r>
          </w:p>
        </w:tc>
        <w:tc>
          <w:tcPr>
            <w:tcW w:type="dxa" w:w="1234"/>
          </w:tcPr>
          <w:p>
            <w:r>
              <w:rPr>
                <w:b/>
                <w:sz w:val="20"/>
              </w:rPr>
              <w:t>公司</w:t>
            </w:r>
          </w:p>
        </w:tc>
        <w:tc>
          <w:tcPr>
            <w:tcW w:type="dxa" w:w="1234"/>
          </w:tcPr>
          <w:p>
            <w:r>
              <w:rPr>
                <w:b/>
                <w:sz w:val="20"/>
              </w:rPr>
              <w:t>公开号</w:t>
            </w:r>
          </w:p>
        </w:tc>
        <w:tc>
          <w:tcPr>
            <w:tcW w:type="dxa" w:w="1234"/>
          </w:tcPr>
          <w:p>
            <w:r>
              <w:rPr>
                <w:b/>
                <w:sz w:val="20"/>
              </w:rPr>
              <w:t>公开日</w:t>
            </w:r>
          </w:p>
        </w:tc>
        <w:tc>
          <w:tcPr>
            <w:tcW w:type="dxa" w:w="1234"/>
          </w:tcPr>
          <w:p>
            <w:r>
              <w:rPr>
                <w:b/>
                <w:sz w:val="20"/>
              </w:rPr>
              <w:t>标题</w:t>
            </w:r>
          </w:p>
        </w:tc>
        <w:tc>
          <w:tcPr>
            <w:tcW w:type="dxa" w:w="1234"/>
          </w:tcPr>
          <w:p>
            <w:r>
              <w:rPr>
                <w:b/>
                <w:sz w:val="20"/>
              </w:rPr>
              <w:t>CN 同族</w:t>
            </w:r>
          </w:p>
        </w:tc>
        <w:tc>
          <w:tcPr>
            <w:tcW w:type="dxa" w:w="1234"/>
          </w:tcPr>
          <w:p>
            <w:r>
              <w:rPr>
                <w:b/>
                <w:sz w:val="20"/>
              </w:rPr>
              <w:t>法律状态</w:t>
            </w:r>
          </w:p>
        </w:tc>
      </w:tr>
      <w:tr>
        <w:tc>
          <w:tcPr>
            <w:tcW w:type="dxa" w:w="1234"/>
          </w:tcPr>
          <w:p>
            <w:r>
              <w:rPr>
                <w:sz w:val="18"/>
              </w:rPr>
              <w:t>1</w:t>
            </w:r>
          </w:p>
        </w:tc>
        <w:tc>
          <w:tcPr>
            <w:tcW w:type="dxa" w:w="1234"/>
          </w:tcPr>
          <w:p>
            <w:r>
              <w:rPr>
                <w:sz w:val="18"/>
              </w:rPr>
              <w:t>佛山市淇特科技有限公司</w:t>
            </w:r>
          </w:p>
        </w:tc>
        <w:tc>
          <w:tcPr>
            <w:tcW w:type="dxa" w:w="1234"/>
          </w:tcPr>
          <w:p>
            <w:r>
              <w:rPr>
                <w:sz w:val="18"/>
              </w:rPr>
              <w:t>CN121747186A</w:t>
            </w:r>
          </w:p>
        </w:tc>
        <w:tc>
          <w:tcPr>
            <w:tcW w:type="dxa" w:w="1234"/>
          </w:tcPr>
          <w:p>
            <w:r>
              <w:rPr>
                <w:sz w:val="18"/>
              </w:rPr>
              <w:t>2026-03-27</w:t>
            </w:r>
          </w:p>
        </w:tc>
        <w:tc>
          <w:tcPr>
            <w:tcW w:type="dxa" w:w="1234"/>
          </w:tcPr>
          <w:p>
            <w:r>
              <w:rPr>
                <w:sz w:val="18"/>
              </w:rPr>
              <w:t>Skeleton gesture recognition method, device and system based on graph convolutio</w:t>
            </w:r>
          </w:p>
        </w:tc>
        <w:tc>
          <w:tcPr>
            <w:tcW w:type="dxa" w:w="1234"/>
          </w:tcPr>
          <w:p>
            <w:r>
              <w:rPr>
                <w:sz w:val="18"/>
              </w:rPr>
              <w:t>CN121747186</w:t>
            </w:r>
          </w:p>
        </w:tc>
        <w:tc>
          <w:tcPr>
            <w:tcW w:type="dxa" w:w="1234"/>
          </w:tcPr>
          <w:p>
            <w:r>
              <w:rPr>
                <w:sz w:val="18"/>
              </w:rPr>
              <w:t>—</w:t>
            </w:r>
          </w:p>
        </w:tc>
      </w:tr>
      <w:tr>
        <w:tc>
          <w:tcPr>
            <w:tcW w:type="dxa" w:w="1234"/>
          </w:tcPr>
          <w:p>
            <w:r>
              <w:rPr>
                <w:sz w:val="18"/>
              </w:rPr>
              <w:t>2</w:t>
            </w:r>
          </w:p>
        </w:tc>
        <w:tc>
          <w:tcPr>
            <w:tcW w:type="dxa" w:w="1234"/>
          </w:tcPr>
          <w:p>
            <w:r>
              <w:rPr>
                <w:sz w:val="18"/>
              </w:rPr>
              <w:t>杭州烽垚科技发展有限公司</w:t>
            </w:r>
          </w:p>
        </w:tc>
        <w:tc>
          <w:tcPr>
            <w:tcW w:type="dxa" w:w="1234"/>
          </w:tcPr>
          <w:p>
            <w:r>
              <w:rPr>
                <w:sz w:val="18"/>
              </w:rPr>
              <w:t>CN121545683A</w:t>
            </w:r>
          </w:p>
        </w:tc>
        <w:tc>
          <w:tcPr>
            <w:tcW w:type="dxa" w:w="1234"/>
          </w:tcPr>
          <w:p>
            <w:r>
              <w:rPr>
                <w:sz w:val="18"/>
              </w:rPr>
              <w:t>2026-02-17</w:t>
            </w:r>
          </w:p>
        </w:tc>
        <w:tc>
          <w:tcPr>
            <w:tcW w:type="dxa" w:w="1234"/>
          </w:tcPr>
          <w:p>
            <w:r>
              <w:rPr>
                <w:sz w:val="18"/>
              </w:rPr>
              <w:t>Pet emotion regulation generation system under perspective of human-pet interact</w:t>
            </w:r>
          </w:p>
        </w:tc>
        <w:tc>
          <w:tcPr>
            <w:tcW w:type="dxa" w:w="1234"/>
          </w:tcPr>
          <w:p>
            <w:r>
              <w:rPr>
                <w:sz w:val="18"/>
              </w:rPr>
              <w:t>CN121545683</w:t>
            </w:r>
          </w:p>
        </w:tc>
        <w:tc>
          <w:tcPr>
            <w:tcW w:type="dxa" w:w="1234"/>
          </w:tcPr>
          <w:p>
            <w:r>
              <w:rPr>
                <w:sz w:val="18"/>
              </w:rPr>
              <w:t>—</w:t>
            </w:r>
          </w:p>
        </w:tc>
      </w:tr>
      <w:tr>
        <w:tc>
          <w:tcPr>
            <w:tcW w:type="dxa" w:w="1234"/>
          </w:tcPr>
          <w:p>
            <w:r>
              <w:rPr>
                <w:sz w:val="18"/>
              </w:rPr>
              <w:t>3</w:t>
            </w:r>
          </w:p>
        </w:tc>
        <w:tc>
          <w:tcPr>
            <w:tcW w:type="dxa" w:w="1234"/>
          </w:tcPr>
          <w:p>
            <w:r>
              <w:rPr>
                <w:sz w:val="18"/>
              </w:rPr>
              <w:t>云南电网有限责任公司文山供电局</w:t>
            </w:r>
          </w:p>
        </w:tc>
        <w:tc>
          <w:tcPr>
            <w:tcW w:type="dxa" w:w="1234"/>
          </w:tcPr>
          <w:p>
            <w:r>
              <w:rPr>
                <w:sz w:val="18"/>
              </w:rPr>
              <w:t>CN121482794A</w:t>
            </w:r>
          </w:p>
        </w:tc>
        <w:tc>
          <w:tcPr>
            <w:tcW w:type="dxa" w:w="1234"/>
          </w:tcPr>
          <w:p>
            <w:r>
              <w:rPr>
                <w:sz w:val="18"/>
              </w:rPr>
              <w:t>2026-02-06</w:t>
            </w:r>
          </w:p>
        </w:tc>
        <w:tc>
          <w:tcPr>
            <w:tcW w:type="dxa" w:w="1234"/>
          </w:tcPr>
          <w:p>
            <w:r>
              <w:rPr>
                <w:sz w:val="18"/>
              </w:rPr>
              <w:t>Handwritten numeral recognition method based on bimodal collaborative correction</w:t>
            </w:r>
          </w:p>
        </w:tc>
        <w:tc>
          <w:tcPr>
            <w:tcW w:type="dxa" w:w="1234"/>
          </w:tcPr>
          <w:p>
            <w:r>
              <w:rPr>
                <w:sz w:val="18"/>
              </w:rPr>
              <w:t>CN121482794</w:t>
            </w:r>
          </w:p>
        </w:tc>
        <w:tc>
          <w:tcPr>
            <w:tcW w:type="dxa" w:w="1234"/>
          </w:tcPr>
          <w:p>
            <w:r>
              <w:rPr>
                <w:sz w:val="18"/>
              </w:rPr>
              <w:t>—</w:t>
            </w:r>
          </w:p>
        </w:tc>
      </w:tr>
      <w:tr>
        <w:tc>
          <w:tcPr>
            <w:tcW w:type="dxa" w:w="1234"/>
          </w:tcPr>
          <w:p>
            <w:r>
              <w:rPr>
                <w:sz w:val="18"/>
              </w:rPr>
              <w:t>4</w:t>
            </w:r>
          </w:p>
        </w:tc>
        <w:tc>
          <w:tcPr>
            <w:tcW w:type="dxa" w:w="1234"/>
          </w:tcPr>
          <w:p>
            <w:r>
              <w:rPr>
                <w:sz w:val="18"/>
              </w:rPr>
              <w:t>云南电网有限责任公司文山供电局</w:t>
            </w:r>
          </w:p>
        </w:tc>
        <w:tc>
          <w:tcPr>
            <w:tcW w:type="dxa" w:w="1234"/>
          </w:tcPr>
          <w:p>
            <w:r>
              <w:rPr>
                <w:sz w:val="18"/>
              </w:rPr>
              <w:t>CN121482793A</w:t>
            </w:r>
          </w:p>
        </w:tc>
        <w:tc>
          <w:tcPr>
            <w:tcW w:type="dxa" w:w="1234"/>
          </w:tcPr>
          <w:p>
            <w:r>
              <w:rPr>
                <w:sz w:val="18"/>
              </w:rPr>
              <w:t>2026-02-06</w:t>
            </w:r>
          </w:p>
        </w:tc>
        <w:tc>
          <w:tcPr>
            <w:tcW w:type="dxa" w:w="1234"/>
          </w:tcPr>
          <w:p>
            <w:r>
              <w:rPr>
                <w:sz w:val="18"/>
              </w:rPr>
              <w:t>Handwritten numeral identification method based on multi-modal large model guida</w:t>
            </w:r>
          </w:p>
        </w:tc>
        <w:tc>
          <w:tcPr>
            <w:tcW w:type="dxa" w:w="1234"/>
          </w:tcPr>
          <w:p>
            <w:r>
              <w:rPr>
                <w:sz w:val="18"/>
              </w:rPr>
              <w:t>CN121482793</w:t>
            </w:r>
          </w:p>
        </w:tc>
        <w:tc>
          <w:tcPr>
            <w:tcW w:type="dxa" w:w="1234"/>
          </w:tcPr>
          <w:p>
            <w:r>
              <w:rPr>
                <w:sz w:val="18"/>
              </w:rPr>
              <w:t>—</w:t>
            </w:r>
          </w:p>
        </w:tc>
      </w:tr>
      <w:tr>
        <w:tc>
          <w:tcPr>
            <w:tcW w:type="dxa" w:w="1234"/>
          </w:tcPr>
          <w:p>
            <w:r>
              <w:rPr>
                <w:sz w:val="18"/>
              </w:rPr>
              <w:t>5</w:t>
            </w:r>
          </w:p>
        </w:tc>
        <w:tc>
          <w:tcPr>
            <w:tcW w:type="dxa" w:w="1234"/>
          </w:tcPr>
          <w:p>
            <w:r>
              <w:rPr>
                <w:sz w:val="18"/>
              </w:rPr>
              <w:t>灵心巧手（北京）科技有限公司</w:t>
            </w:r>
          </w:p>
        </w:tc>
        <w:tc>
          <w:tcPr>
            <w:tcW w:type="dxa" w:w="1234"/>
          </w:tcPr>
          <w:p>
            <w:r>
              <w:rPr>
                <w:sz w:val="18"/>
              </w:rPr>
              <w:t>CN121361091A</w:t>
            </w:r>
          </w:p>
        </w:tc>
        <w:tc>
          <w:tcPr>
            <w:tcW w:type="dxa" w:w="1234"/>
          </w:tcPr>
          <w:p>
            <w:r>
              <w:rPr>
                <w:sz w:val="18"/>
              </w:rPr>
              <w:t>2026-01-20</w:t>
            </w:r>
          </w:p>
        </w:tc>
        <w:tc>
          <w:tcPr>
            <w:tcW w:type="dxa" w:w="1234"/>
          </w:tcPr>
          <w:p>
            <w:r>
              <w:rPr>
                <w:sz w:val="18"/>
              </w:rPr>
              <w:t>Robot finger touch sensing method and system based on artificial intelligence</w:t>
            </w:r>
          </w:p>
        </w:tc>
        <w:tc>
          <w:tcPr>
            <w:tcW w:type="dxa" w:w="1234"/>
          </w:tcPr>
          <w:p>
            <w:r>
              <w:rPr>
                <w:sz w:val="18"/>
              </w:rPr>
              <w:t>CN121361091</w:t>
            </w:r>
          </w:p>
        </w:tc>
        <w:tc>
          <w:tcPr>
            <w:tcW w:type="dxa" w:w="1234"/>
          </w:tcPr>
          <w:p>
            <w:r>
              <w:rPr>
                <w:sz w:val="18"/>
              </w:rPr>
              <w:t>—</w:t>
            </w:r>
          </w:p>
        </w:tc>
      </w:tr>
      <w:tr>
        <w:tc>
          <w:tcPr>
            <w:tcW w:type="dxa" w:w="1234"/>
          </w:tcPr>
          <w:p>
            <w:r>
              <w:rPr>
                <w:sz w:val="18"/>
              </w:rPr>
              <w:t>6</w:t>
            </w:r>
          </w:p>
        </w:tc>
        <w:tc>
          <w:tcPr>
            <w:tcW w:type="dxa" w:w="1234"/>
          </w:tcPr>
          <w:p>
            <w:r>
              <w:rPr>
                <w:sz w:val="18"/>
              </w:rPr>
              <w:t>国能哈尔滨热电有限公司</w:t>
            </w:r>
          </w:p>
        </w:tc>
        <w:tc>
          <w:tcPr>
            <w:tcW w:type="dxa" w:w="1234"/>
          </w:tcPr>
          <w:p>
            <w:r>
              <w:rPr>
                <w:sz w:val="18"/>
              </w:rPr>
              <w:t>CN121259683A</w:t>
            </w:r>
          </w:p>
        </w:tc>
        <w:tc>
          <w:tcPr>
            <w:tcW w:type="dxa" w:w="1234"/>
          </w:tcPr>
          <w:p>
            <w:r>
              <w:rPr>
                <w:sz w:val="18"/>
              </w:rPr>
              <w:t>2026-01-02</w:t>
            </w:r>
          </w:p>
        </w:tc>
        <w:tc>
          <w:tcPr>
            <w:tcW w:type="dxa" w:w="1234"/>
          </w:tcPr>
          <w:p>
            <w:r>
              <w:rPr>
                <w:sz w:val="18"/>
              </w:rPr>
              <w:t>Electric power operation safety violation behavior identification method based o</w:t>
            </w:r>
          </w:p>
        </w:tc>
        <w:tc>
          <w:tcPr>
            <w:tcW w:type="dxa" w:w="1234"/>
          </w:tcPr>
          <w:p>
            <w:r>
              <w:rPr>
                <w:sz w:val="18"/>
              </w:rPr>
              <w:t>CN121259683</w:t>
            </w:r>
          </w:p>
        </w:tc>
        <w:tc>
          <w:tcPr>
            <w:tcW w:type="dxa" w:w="1234"/>
          </w:tcPr>
          <w:p>
            <w:r>
              <w:rPr>
                <w:sz w:val="18"/>
              </w:rPr>
              <w:t>—</w:t>
            </w:r>
          </w:p>
        </w:tc>
      </w:tr>
      <w:tr>
        <w:tc>
          <w:tcPr>
            <w:tcW w:type="dxa" w:w="1234"/>
          </w:tcPr>
          <w:p>
            <w:r>
              <w:rPr>
                <w:sz w:val="18"/>
              </w:rPr>
              <w:t>7</w:t>
            </w:r>
          </w:p>
        </w:tc>
        <w:tc>
          <w:tcPr>
            <w:tcW w:type="dxa" w:w="1234"/>
          </w:tcPr>
          <w:p>
            <w:r>
              <w:rPr>
                <w:sz w:val="18"/>
              </w:rPr>
              <w:t>江苏今达纺织实业有限公司</w:t>
            </w:r>
          </w:p>
        </w:tc>
        <w:tc>
          <w:tcPr>
            <w:tcW w:type="dxa" w:w="1234"/>
          </w:tcPr>
          <w:p>
            <w:r>
              <w:rPr>
                <w:sz w:val="18"/>
              </w:rPr>
              <w:t>CN121190443A</w:t>
            </w:r>
          </w:p>
        </w:tc>
        <w:tc>
          <w:tcPr>
            <w:tcW w:type="dxa" w:w="1234"/>
          </w:tcPr>
          <w:p>
            <w:r>
              <w:rPr>
                <w:sz w:val="18"/>
              </w:rPr>
              <w:t>2025-12-23</w:t>
            </w:r>
          </w:p>
        </w:tc>
        <w:tc>
          <w:tcPr>
            <w:tcW w:type="dxa" w:w="1234"/>
          </w:tcPr>
          <w:p>
            <w:r>
              <w:rPr>
                <w:sz w:val="18"/>
              </w:rPr>
              <w:t>AI vision-driven polyester fabric pilling detection method and system</w:t>
            </w:r>
          </w:p>
        </w:tc>
        <w:tc>
          <w:tcPr>
            <w:tcW w:type="dxa" w:w="1234"/>
          </w:tcPr>
          <w:p>
            <w:r>
              <w:rPr>
                <w:sz w:val="18"/>
              </w:rPr>
              <w:t>CN121190443</w:t>
            </w:r>
          </w:p>
        </w:tc>
        <w:tc>
          <w:tcPr>
            <w:tcW w:type="dxa" w:w="1234"/>
          </w:tcPr>
          <w:p>
            <w:r>
              <w:rPr>
                <w:sz w:val="18"/>
              </w:rPr>
              <w:t>—</w:t>
            </w:r>
          </w:p>
        </w:tc>
      </w:tr>
      <w:tr>
        <w:tc>
          <w:tcPr>
            <w:tcW w:type="dxa" w:w="1234"/>
          </w:tcPr>
          <w:p>
            <w:r>
              <w:rPr>
                <w:sz w:val="18"/>
              </w:rPr>
              <w:t>8</w:t>
            </w:r>
          </w:p>
        </w:tc>
        <w:tc>
          <w:tcPr>
            <w:tcW w:type="dxa" w:w="1234"/>
          </w:tcPr>
          <w:p>
            <w:r>
              <w:rPr>
                <w:sz w:val="18"/>
              </w:rPr>
              <w:t>重庆邮电大学</w:t>
            </w:r>
          </w:p>
        </w:tc>
        <w:tc>
          <w:tcPr>
            <w:tcW w:type="dxa" w:w="1234"/>
          </w:tcPr>
          <w:p>
            <w:r>
              <w:rPr>
                <w:sz w:val="18"/>
              </w:rPr>
              <w:t>CN121010879A</w:t>
            </w:r>
          </w:p>
        </w:tc>
        <w:tc>
          <w:tcPr>
            <w:tcW w:type="dxa" w:w="1234"/>
          </w:tcPr>
          <w:p>
            <w:r>
              <w:rPr>
                <w:sz w:val="18"/>
              </w:rPr>
              <w:t>2025-11-25</w:t>
            </w:r>
          </w:p>
        </w:tc>
        <w:tc>
          <w:tcPr>
            <w:tcW w:type="dxa" w:w="1234"/>
          </w:tcPr>
          <w:p>
            <w:r>
              <w:rPr>
                <w:sz w:val="18"/>
              </w:rPr>
              <w:t>Railway vehicle cloud edge cooperative detection method and system, and inspecti</w:t>
            </w:r>
          </w:p>
        </w:tc>
        <w:tc>
          <w:tcPr>
            <w:tcW w:type="dxa" w:w="1234"/>
          </w:tcPr>
          <w:p>
            <w:r>
              <w:rPr>
                <w:sz w:val="18"/>
              </w:rPr>
              <w:t>CN121010879</w:t>
            </w:r>
          </w:p>
        </w:tc>
        <w:tc>
          <w:tcPr>
            <w:tcW w:type="dxa" w:w="1234"/>
          </w:tcPr>
          <w:p>
            <w:r>
              <w:rPr>
                <w:sz w:val="18"/>
              </w:rPr>
              <w:t>—</w:t>
            </w:r>
          </w:p>
        </w:tc>
      </w:tr>
    </w:tbl>
    <w:p/>
    <w:p>
      <w:r>
        <w:rPr>
          <w:b/>
          <w:color w:val="0958D9"/>
          <w:sz w:val="28"/>
        </w:rPr>
        <w:t>二、竞品方向相关先例（共 6 条）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1234"/>
        <w:gridCol w:w="1234"/>
        <w:gridCol w:w="1234"/>
        <w:gridCol w:w="1234"/>
        <w:gridCol w:w="1234"/>
        <w:gridCol w:w="1234"/>
        <w:gridCol w:w="1234"/>
      </w:tblGrid>
      <w:tr>
        <w:tc>
          <w:tcPr>
            <w:tcW w:type="dxa" w:w="1234"/>
          </w:tcPr>
          <w:p>
            <w:r>
              <w:rPr>
                <w:b/>
                <w:sz w:val="20"/>
              </w:rPr>
              <w:t>序号</w:t>
            </w:r>
          </w:p>
        </w:tc>
        <w:tc>
          <w:tcPr>
            <w:tcW w:type="dxa" w:w="1234"/>
          </w:tcPr>
          <w:p>
            <w:r>
              <w:rPr>
                <w:b/>
                <w:sz w:val="20"/>
              </w:rPr>
              <w:t>公司</w:t>
            </w:r>
          </w:p>
        </w:tc>
        <w:tc>
          <w:tcPr>
            <w:tcW w:type="dxa" w:w="1234"/>
          </w:tcPr>
          <w:p>
            <w:r>
              <w:rPr>
                <w:b/>
                <w:sz w:val="20"/>
              </w:rPr>
              <w:t>公开号</w:t>
            </w:r>
          </w:p>
        </w:tc>
        <w:tc>
          <w:tcPr>
            <w:tcW w:type="dxa" w:w="1234"/>
          </w:tcPr>
          <w:p>
            <w:r>
              <w:rPr>
                <w:b/>
                <w:sz w:val="20"/>
              </w:rPr>
              <w:t>公开日</w:t>
            </w:r>
          </w:p>
        </w:tc>
        <w:tc>
          <w:tcPr>
            <w:tcW w:type="dxa" w:w="1234"/>
          </w:tcPr>
          <w:p>
            <w:r>
              <w:rPr>
                <w:b/>
                <w:sz w:val="20"/>
              </w:rPr>
              <w:t>标题</w:t>
            </w:r>
          </w:p>
        </w:tc>
        <w:tc>
          <w:tcPr>
            <w:tcW w:type="dxa" w:w="1234"/>
          </w:tcPr>
          <w:p>
            <w:r>
              <w:rPr>
                <w:b/>
                <w:sz w:val="20"/>
              </w:rPr>
              <w:t>CN 同族</w:t>
            </w:r>
          </w:p>
        </w:tc>
        <w:tc>
          <w:tcPr>
            <w:tcW w:type="dxa" w:w="1234"/>
          </w:tcPr>
          <w:p>
            <w:r>
              <w:rPr>
                <w:b/>
                <w:sz w:val="20"/>
              </w:rPr>
              <w:t>法律状态</w:t>
            </w:r>
          </w:p>
        </w:tc>
      </w:tr>
      <w:tr>
        <w:tc>
          <w:tcPr>
            <w:tcW w:type="dxa" w:w="1234"/>
          </w:tcPr>
          <w:p>
            <w:r>
              <w:rPr>
                <w:sz w:val="18"/>
              </w:rPr>
              <w:t>1</w:t>
            </w:r>
          </w:p>
        </w:tc>
        <w:tc>
          <w:tcPr>
            <w:tcW w:type="dxa" w:w="1234"/>
          </w:tcPr>
          <w:p>
            <w:r>
              <w:rPr>
                <w:sz w:val="18"/>
              </w:rPr>
              <w:t>浪潮电子信息产业股份有限公司</w:t>
            </w:r>
          </w:p>
        </w:tc>
        <w:tc>
          <w:tcPr>
            <w:tcW w:type="dxa" w:w="1234"/>
          </w:tcPr>
          <w:p>
            <w:r>
              <w:rPr>
                <w:sz w:val="18"/>
              </w:rPr>
              <w:t>CN117876940B</w:t>
            </w:r>
          </w:p>
        </w:tc>
        <w:tc>
          <w:tcPr>
            <w:tcW w:type="dxa" w:w="1234"/>
          </w:tcPr>
          <w:p>
            <w:r>
              <w:rPr>
                <w:sz w:val="18"/>
              </w:rPr>
              <w:t>2024-05-31</w:t>
            </w:r>
          </w:p>
        </w:tc>
        <w:tc>
          <w:tcPr>
            <w:tcW w:type="dxa" w:w="1234"/>
          </w:tcPr>
          <w:p>
            <w:r>
              <w:rPr>
                <w:sz w:val="18"/>
              </w:rPr>
              <w:t>视频语言任务执行及其模型训练方法、装置、设备、介质</w:t>
            </w:r>
          </w:p>
        </w:tc>
        <w:tc>
          <w:tcPr>
            <w:tcW w:type="dxa" w:w="1234"/>
          </w:tcPr>
          <w:p>
            <w:r>
              <w:rPr>
                <w:sz w:val="18"/>
              </w:rPr>
              <w:t>CN117876940</w:t>
            </w:r>
          </w:p>
        </w:tc>
        <w:tc>
          <w:tcPr>
            <w:tcW w:type="dxa" w:w="1234"/>
          </w:tcPr>
          <w:p>
            <w:r>
              <w:rPr>
                <w:sz w:val="18"/>
              </w:rPr>
              <w:t>—</w:t>
            </w:r>
          </w:p>
        </w:tc>
      </w:tr>
      <w:tr>
        <w:tc>
          <w:tcPr>
            <w:tcW w:type="dxa" w:w="1234"/>
          </w:tcPr>
          <w:p>
            <w:r>
              <w:rPr>
                <w:sz w:val="18"/>
              </w:rPr>
              <w:t>2</w:t>
            </w:r>
          </w:p>
        </w:tc>
        <w:tc>
          <w:tcPr>
            <w:tcW w:type="dxa" w:w="1234"/>
          </w:tcPr>
          <w:p>
            <w:r>
              <w:rPr>
                <w:sz w:val="18"/>
              </w:rPr>
              <w:t>Bayer Aktiengesellschaft</w:t>
            </w:r>
          </w:p>
        </w:tc>
        <w:tc>
          <w:tcPr>
            <w:tcW w:type="dxa" w:w="1234"/>
          </w:tcPr>
          <w:p>
            <w:r>
              <w:rPr>
                <w:sz w:val="18"/>
              </w:rPr>
              <w:t>EP4330859B1</w:t>
            </w:r>
          </w:p>
        </w:tc>
        <w:tc>
          <w:tcPr>
            <w:tcW w:type="dxa" w:w="1234"/>
          </w:tcPr>
          <w:p>
            <w:r>
              <w:rPr>
                <w:sz w:val="18"/>
              </w:rPr>
              <w:t>2025-08-20</w:t>
            </w:r>
          </w:p>
        </w:tc>
        <w:tc>
          <w:tcPr>
            <w:tcW w:type="dxa" w:w="1234"/>
          </w:tcPr>
          <w:p>
            <w:r>
              <w:rPr>
                <w:sz w:val="18"/>
              </w:rPr>
              <w:t>Method and apparatus for processing of multi-modal data</w:t>
            </w:r>
          </w:p>
        </w:tc>
        <w:tc>
          <w:tcPr>
            <w:tcW w:type="dxa" w:w="1234"/>
          </w:tcPr>
          <w:p>
            <w:r>
              <w:rPr>
                <w:sz w:val="18"/>
              </w:rPr>
              <w:t>—</w:t>
            </w:r>
          </w:p>
        </w:tc>
        <w:tc>
          <w:tcPr>
            <w:tcW w:type="dxa" w:w="1234"/>
          </w:tcPr>
          <w:p>
            <w:r>
              <w:rPr>
                <w:sz w:val="18"/>
              </w:rPr>
              <w:t xml:space="preserve">The patent has been </w:t>
            </w:r>
          </w:p>
        </w:tc>
      </w:tr>
      <w:tr>
        <w:tc>
          <w:tcPr>
            <w:tcW w:type="dxa" w:w="1234"/>
          </w:tcPr>
          <w:p>
            <w:r>
              <w:rPr>
                <w:sz w:val="18"/>
              </w:rPr>
              <w:t>3</w:t>
            </w:r>
          </w:p>
        </w:tc>
        <w:tc>
          <w:tcPr>
            <w:tcW w:type="dxa" w:w="1234"/>
          </w:tcPr>
          <w:p>
            <w:r>
              <w:rPr>
                <w:sz w:val="18"/>
              </w:rPr>
              <w:t>北京聆心智能科技有限公司</w:t>
            </w:r>
          </w:p>
        </w:tc>
        <w:tc>
          <w:tcPr>
            <w:tcW w:type="dxa" w:w="1234"/>
          </w:tcPr>
          <w:p>
            <w:r>
              <w:rPr>
                <w:sz w:val="18"/>
              </w:rPr>
              <w:t>CN119903125B</w:t>
            </w:r>
          </w:p>
        </w:tc>
        <w:tc>
          <w:tcPr>
            <w:tcW w:type="dxa" w:w="1234"/>
          </w:tcPr>
          <w:p>
            <w:r>
              <w:rPr>
                <w:sz w:val="18"/>
              </w:rPr>
              <w:t>2025-08-22</w:t>
            </w:r>
          </w:p>
        </w:tc>
        <w:tc>
          <w:tcPr>
            <w:tcW w:type="dxa" w:w="1234"/>
          </w:tcPr>
          <w:p>
            <w:r>
              <w:rPr>
                <w:sz w:val="18"/>
              </w:rPr>
              <w:t>基于大语言模型的记忆检索方法以及相关装置</w:t>
            </w:r>
          </w:p>
        </w:tc>
        <w:tc>
          <w:tcPr>
            <w:tcW w:type="dxa" w:w="1234"/>
          </w:tcPr>
          <w:p>
            <w:r>
              <w:rPr>
                <w:sz w:val="18"/>
              </w:rPr>
              <w:t>CN119903125</w:t>
            </w:r>
          </w:p>
        </w:tc>
        <w:tc>
          <w:tcPr>
            <w:tcW w:type="dxa" w:w="1234"/>
          </w:tcPr>
          <w:p>
            <w:r>
              <w:rPr>
                <w:sz w:val="18"/>
              </w:rPr>
              <w:t>—</w:t>
            </w:r>
          </w:p>
        </w:tc>
      </w:tr>
      <w:tr>
        <w:tc>
          <w:tcPr>
            <w:tcW w:type="dxa" w:w="1234"/>
          </w:tcPr>
          <w:p>
            <w:r>
              <w:rPr>
                <w:sz w:val="18"/>
              </w:rPr>
              <w:t>4</w:t>
            </w:r>
          </w:p>
        </w:tc>
        <w:tc>
          <w:tcPr>
            <w:tcW w:type="dxa" w:w="1234"/>
          </w:tcPr>
          <w:p>
            <w:r>
              <w:rPr>
                <w:sz w:val="18"/>
              </w:rPr>
              <w:t>Adobe Inc.</w:t>
            </w:r>
          </w:p>
        </w:tc>
        <w:tc>
          <w:tcPr>
            <w:tcW w:type="dxa" w:w="1234"/>
          </w:tcPr>
          <w:p>
            <w:r>
              <w:rPr>
                <w:sz w:val="18"/>
              </w:rPr>
              <w:t>US12223439B2</w:t>
            </w:r>
          </w:p>
        </w:tc>
        <w:tc>
          <w:tcPr>
            <w:tcW w:type="dxa" w:w="1234"/>
          </w:tcPr>
          <w:p>
            <w:r>
              <w:rPr>
                <w:sz w:val="18"/>
              </w:rPr>
              <w:t>2025-02-11</w:t>
            </w:r>
          </w:p>
        </w:tc>
        <w:tc>
          <w:tcPr>
            <w:tcW w:type="dxa" w:w="1234"/>
          </w:tcPr>
          <w:p>
            <w:r>
              <w:rPr>
                <w:sz w:val="18"/>
              </w:rPr>
              <w:t>Visual-semantic representation learning via multi-modal contrastive training</w:t>
            </w:r>
          </w:p>
        </w:tc>
        <w:tc>
          <w:tcPr>
            <w:tcW w:type="dxa" w:w="1234"/>
          </w:tcPr>
          <w:p>
            <w:r>
              <w:rPr>
                <w:sz w:val="18"/>
              </w:rPr>
              <w:t>—</w:t>
            </w:r>
          </w:p>
        </w:tc>
        <w:tc>
          <w:tcPr>
            <w:tcW w:type="dxa" w:w="1234"/>
          </w:tcPr>
          <w:p>
            <w:r>
              <w:rPr>
                <w:sz w:val="18"/>
              </w:rPr>
              <w:t>—</w:t>
            </w:r>
          </w:p>
        </w:tc>
      </w:tr>
      <w:tr>
        <w:tc>
          <w:tcPr>
            <w:tcW w:type="dxa" w:w="1234"/>
          </w:tcPr>
          <w:p>
            <w:r>
              <w:rPr>
                <w:sz w:val="18"/>
              </w:rPr>
              <w:t>5</w:t>
            </w:r>
          </w:p>
        </w:tc>
        <w:tc>
          <w:tcPr>
            <w:tcW w:type="dxa" w:w="1234"/>
          </w:tcPr>
          <w:p>
            <w:r>
              <w:rPr>
                <w:sz w:val="18"/>
              </w:rPr>
              <w:t>南京华飞数据技术有限公司</w:t>
            </w:r>
          </w:p>
        </w:tc>
        <w:tc>
          <w:tcPr>
            <w:tcW w:type="dxa" w:w="1234"/>
          </w:tcPr>
          <w:p>
            <w:r>
              <w:rPr>
                <w:sz w:val="18"/>
              </w:rPr>
              <w:t>CN117453921B</w:t>
            </w:r>
          </w:p>
        </w:tc>
        <w:tc>
          <w:tcPr>
            <w:tcW w:type="dxa" w:w="1234"/>
          </w:tcPr>
          <w:p>
            <w:r>
              <w:rPr>
                <w:sz w:val="18"/>
              </w:rPr>
              <w:t>2024-02-23</w:t>
            </w:r>
          </w:p>
        </w:tc>
        <w:tc>
          <w:tcPr>
            <w:tcW w:type="dxa" w:w="1234"/>
          </w:tcPr>
          <w:p>
            <w:r>
              <w:rPr>
                <w:sz w:val="18"/>
              </w:rPr>
              <w:t>一种大语言模型的数据信息标签处理方法</w:t>
            </w:r>
          </w:p>
        </w:tc>
        <w:tc>
          <w:tcPr>
            <w:tcW w:type="dxa" w:w="1234"/>
          </w:tcPr>
          <w:p>
            <w:r>
              <w:rPr>
                <w:sz w:val="18"/>
              </w:rPr>
              <w:t>CN117453921</w:t>
            </w:r>
          </w:p>
        </w:tc>
        <w:tc>
          <w:tcPr>
            <w:tcW w:type="dxa" w:w="1234"/>
          </w:tcPr>
          <w:p>
            <w:r>
              <w:rPr>
                <w:sz w:val="18"/>
              </w:rPr>
              <w:t>—</w:t>
            </w:r>
          </w:p>
        </w:tc>
      </w:tr>
      <w:tr>
        <w:tc>
          <w:tcPr>
            <w:tcW w:type="dxa" w:w="1234"/>
          </w:tcPr>
          <w:p>
            <w:r>
              <w:rPr>
                <w:sz w:val="18"/>
              </w:rPr>
              <w:t>6</w:t>
            </w:r>
          </w:p>
        </w:tc>
        <w:tc>
          <w:tcPr>
            <w:tcW w:type="dxa" w:w="1234"/>
          </w:tcPr>
          <w:p>
            <w:r>
              <w:rPr>
                <w:sz w:val="18"/>
              </w:rPr>
              <w:t>Arizona Board Of Regents On Behalf Of Ar</w:t>
            </w:r>
          </w:p>
        </w:tc>
        <w:tc>
          <w:tcPr>
            <w:tcW w:type="dxa" w:w="1234"/>
          </w:tcPr>
          <w:p>
            <w:r>
              <w:rPr>
                <w:sz w:val="18"/>
              </w:rPr>
              <w:t>US20250200749A1</w:t>
            </w:r>
          </w:p>
        </w:tc>
        <w:tc>
          <w:tcPr>
            <w:tcW w:type="dxa" w:w="1234"/>
          </w:tcPr>
          <w:p>
            <w:r>
              <w:rPr>
                <w:sz w:val="18"/>
              </w:rPr>
              <w:t>2025-06-19</w:t>
            </w:r>
          </w:p>
        </w:tc>
        <w:tc>
          <w:tcPr>
            <w:tcW w:type="dxa" w:w="1234"/>
          </w:tcPr>
          <w:p>
            <w:r>
              <w:rPr>
                <w:sz w:val="18"/>
              </w:rPr>
              <w:t>Systems, methods, and apparatuses for implementing annotation-efficient deep …</w:t>
            </w:r>
          </w:p>
        </w:tc>
        <w:tc>
          <w:tcPr>
            <w:tcW w:type="dxa" w:w="1234"/>
          </w:tcPr>
          <w:p>
            <w:r>
              <w:rPr>
                <w:sz w:val="18"/>
              </w:rPr>
              <w:t>—</w:t>
            </w:r>
          </w:p>
        </w:tc>
        <w:tc>
          <w:tcPr>
            <w:tcW w:type="dxa" w:w="1234"/>
          </w:tcPr>
          <w:p>
            <w:r>
              <w:rPr>
                <w:sz w:val="18"/>
              </w:rPr>
              <w:t>—</w:t>
            </w:r>
          </w:p>
        </w:tc>
      </w:tr>
    </w:tbl>
    <w:p/>
    <w:p>
      <w:r>
        <w:rPr>
          <w:i/>
          <w:color w:val="666666"/>
          <w:sz w:val="18"/>
        </w:rPr>
        <w:t>说明：以上数据来源于外部公开专利数据源，已按本平台合规规范脱敏处理；实际作为引用文献使用前请通过 CNIPA 检索系统核对最新法律状态。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